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bdr w:val="single" w:sz="16" w:space="1" w:color="000000"/>
        </w:rPr>
      </w:pPr>
      <w:bookmarkStart w:id="0" w:name="tm237717d4_6k.htm"/>
      <w:bookmarkStart w:id="1" w:name="kstm237717d4_6k"/>
      <w:bookmarkEnd w:id="0"/>
      <w:bookmarkEnd w:id="1"/>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 </w:t>
      </w:r>
    </w:p>
    <w:p>
      <w:pPr>
        <w:pStyle w:val="TextBody"/>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SECURITIES AND EXCHANGE COMMISSION</w:t>
      </w:r>
      <w:r>
        <w:rPr>
          <w:rFonts w:ascii="Times New Roman;Times;Serif" w:hAnsi="Times New Roman;Times;Serif"/>
          <w:b w:val="false"/>
          <w:i w:val="false"/>
          <w:caps w:val="false"/>
          <w:smallCaps w:val="false"/>
          <w:sz w:val="28"/>
        </w:rPr>
        <w:t> </w:t>
      </w:r>
    </w:p>
    <w:p>
      <w:pPr>
        <w:pStyle w:val="TextBody"/>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Washington, D.C. 20549</w:t>
      </w:r>
    </w:p>
    <w:p>
      <w:pPr>
        <w:pStyle w:val="TextBody"/>
        <w:pBdr>
          <w:bottom w:val="single" w:sz="8" w:space="1" w:color="000000"/>
        </w:pBdr>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pBdr>
          <w:bottom w:val="single" w:sz="8" w:space="1" w:color="000000"/>
        </w:pBdr>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001-41687</w:t>
      </w:r>
    </w:p>
    <w:p>
      <w:pPr>
        <w:pStyle w:val="TextBody"/>
        <w:pBdr>
          <w:bottom w:val="single" w:sz="8" w:space="1" w:color="000000"/>
        </w:pBdr>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BITDEER TECHNOLOGIES GROUP</w:t>
      </w:r>
    </w:p>
    <w:p>
      <w:pPr>
        <w:pStyle w:val="TextBody"/>
        <w:pBdr>
          <w:bottom w:val="single" w:sz="8" w:space="1" w:color="000000"/>
        </w:pBdr>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 Kallang Avenue</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Aperia tower 1, #09-03/04</w:t>
      </w:r>
      <w:r>
        <w:rPr>
          <w:rFonts w:ascii="Times New Roman;Times;Serif" w:hAnsi="Times New Roman;Times;Serif"/>
          <w:b w:val="false"/>
          <w:i w:val="false"/>
          <w:caps w:val="false"/>
          <w:smallCaps w:val="false"/>
          <w:sz w:val="20"/>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 339509</w:t>
      </w:r>
      <w:r>
        <w:rPr>
          <w:rFonts w:ascii="Times New Roman;Times;Serif" w:hAnsi="Times New Roman;Times;Serif"/>
          <w:b w:val="false"/>
          <w:i w:val="false"/>
          <w:caps w:val="false"/>
          <w:smallCaps w:val="false"/>
          <w:sz w:val="20"/>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pBdr>
          <w:bottom w:val="single" w:sz="8" w:space="1" w:color="000000"/>
        </w:pBdr>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  Form 20-F  ☒          Form 40-F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Releases 2022 Full Year Financial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19, 2023, Bitdeer Technologies Group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issued a press release announcing its full year 2022 financial results and operational highlights.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as Exhibit 99.1 to this current report on Form 6-K and is incorporated by reference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spacing w:before="0" w:after="0"/>
        <w:ind w:left="0" w:right="0" w:hanging="0"/>
        <w:rPr>
          <w:caps w:val="false"/>
          <w:smallCaps w:val="false"/>
        </w:rPr>
      </w:pPr>
      <w:r>
        <w:rPr>
          <w:caps w:val="false"/>
          <w:smallCaps w:val="false"/>
        </w:rPr>
        <w:t> </w:t>
      </w:r>
    </w:p>
    <w:tbl>
      <w:tblPr>
        <w:tblW w:w="3895" w:type="dxa"/>
        <w:jc w:val="left"/>
        <w:tblInd w:w="0" w:type="dxa"/>
        <w:tblCellMar>
          <w:top w:w="0" w:type="dxa"/>
          <w:left w:w="0" w:type="dxa"/>
          <w:bottom w:w="0" w:type="dxa"/>
          <w:right w:w="0" w:type="dxa"/>
        </w:tblCellMar>
      </w:tblPr>
      <w:tblGrid>
        <w:gridCol w:w="995"/>
        <w:gridCol w:w="60"/>
        <w:gridCol w:w="2840"/>
      </w:tblGrid>
      <w:tr>
        <w:trPr/>
        <w:tc>
          <w:tcPr>
            <w:tcW w:w="995" w:type="dxa"/>
            <w:tcBorders/>
            <w:shd w:fill="FFFFFF" w:val="clear"/>
            <w:vAlign w:val="center"/>
          </w:tcPr>
          <w:p>
            <w:pPr>
              <w:pStyle w:val="TableContents"/>
              <w:pBdr>
                <w:bottom w:val="single" w:sz="4" w:space="1" w:color="000000"/>
              </w:pBd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shd w:fill="FFFFFF" w:val="clear"/>
            <w:vAlign w:val="center"/>
          </w:tcPr>
          <w:p>
            <w:pPr>
              <w:pStyle w:val="TableContents"/>
              <w:spacing w:before="0" w:after="283"/>
              <w:rPr/>
            </w:pPr>
            <w:r>
              <w:rPr/>
              <w:t> </w:t>
            </w:r>
          </w:p>
        </w:tc>
        <w:tc>
          <w:tcPr>
            <w:tcW w:w="2840" w:type="dxa"/>
            <w:tcBorders/>
            <w:shd w:fill="FFFFFF" w:val="clear"/>
            <w:vAlign w:val="center"/>
          </w:tcPr>
          <w:p>
            <w:pPr>
              <w:pStyle w:val="TableContents"/>
              <w:pBdr>
                <w:bottom w:val="single" w:sz="4" w:space="1" w:color="000000"/>
              </w:pBd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FFFFFF" w:val="clear"/>
            <w:vAlign w:val="center"/>
          </w:tcPr>
          <w:p>
            <w:pPr>
              <w:pStyle w:val="TableContents"/>
              <w:spacing w:before="0" w:after="283"/>
              <w:rPr/>
            </w:pPr>
            <w:hyperlink w:anchor="tm237717d4_ex99-1.htm">
              <w:r>
                <w:rPr>
                  <w:rStyle w:val="InternetLink"/>
                  <w:sz w:val="20"/>
                </w:rPr>
                <w:t>99.1</w:t>
              </w:r>
            </w:hyperlink>
          </w:p>
        </w:tc>
        <w:tc>
          <w:tcPr>
            <w:tcW w:w="60" w:type="dxa"/>
            <w:tcBorders/>
            <w:shd w:fill="FFFFFF" w:val="clear"/>
            <w:vAlign w:val="center"/>
          </w:tcPr>
          <w:p>
            <w:pPr>
              <w:pStyle w:val="TableContents"/>
              <w:spacing w:before="0" w:after="283"/>
              <w:rPr/>
            </w:pPr>
            <w:r>
              <w:rPr/>
              <w:t> </w:t>
            </w:r>
          </w:p>
        </w:tc>
        <w:tc>
          <w:tcPr>
            <w:tcW w:w="2840" w:type="dxa"/>
            <w:tcBorders/>
            <w:shd w:fill="FFFFFF" w:val="clear"/>
            <w:vAlign w:val="center"/>
          </w:tcPr>
          <w:p>
            <w:pPr>
              <w:pStyle w:val="TableContents"/>
              <w:spacing w:before="0" w:after="283"/>
              <w:rPr/>
            </w:pPr>
            <w:hyperlink w:anchor="tm237717d4_ex99-1.htm">
              <w:r>
                <w:rPr>
                  <w:rStyle w:val="InternetLink"/>
                  <w:sz w:val="20"/>
                </w:rPr>
                <w:t>Press Release dated April 19, 2023</w:t>
              </w:r>
            </w:hyperlink>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tbl>
      <w:tblPr>
        <w:tblW w:w="2575" w:type="dxa"/>
        <w:jc w:val="left"/>
        <w:tblInd w:w="0" w:type="dxa"/>
        <w:tblCellMar>
          <w:top w:w="0" w:type="dxa"/>
          <w:left w:w="0" w:type="dxa"/>
          <w:bottom w:w="0" w:type="dxa"/>
          <w:right w:w="0" w:type="dxa"/>
        </w:tblCellMar>
      </w:tblPr>
      <w:tblGrid>
        <w:gridCol w:w="75"/>
        <w:gridCol w:w="545"/>
        <w:gridCol w:w="1955"/>
      </w:tblGrid>
      <w:tr>
        <w:trPr/>
        <w:tc>
          <w:tcPr>
            <w:tcW w:w="75" w:type="dxa"/>
            <w:tcBorders/>
            <w:shd w:fill="auto" w:val="clear"/>
            <w:vAlign w:val="center"/>
          </w:tcPr>
          <w:p>
            <w:pPr>
              <w:pStyle w:val="TableContents"/>
              <w:spacing w:before="0" w:after="283"/>
              <w:rPr/>
            </w:pPr>
            <w:r>
              <w:rPr/>
              <w:t> </w:t>
            </w:r>
          </w:p>
        </w:tc>
        <w:tc>
          <w:tcPr>
            <w:tcW w:w="2500" w:type="dxa"/>
            <w:gridSpan w:val="2"/>
            <w:tcBorders/>
            <w:shd w:fill="auto" w:val="clear"/>
            <w:vAlign w:val="center"/>
          </w:tcPr>
          <w:p>
            <w:pPr>
              <w:pStyle w:val="TableContents"/>
              <w:spacing w:before="0" w:after="283"/>
              <w:jc w:val="both"/>
              <w:rPr>
                <w:b/>
                <w:sz w:val="20"/>
              </w:rPr>
            </w:pPr>
            <w:r>
              <w:rPr>
                <w:b/>
                <w:sz w:val="20"/>
              </w:rPr>
              <w:t>Bitdeer Technologies Group</w:t>
            </w:r>
          </w:p>
        </w:tc>
      </w:tr>
      <w:tr>
        <w:trPr/>
        <w:tc>
          <w:tcPr>
            <w:tcW w:w="75" w:type="dxa"/>
            <w:tcBorders/>
            <w:shd w:fill="auto" w:val="clear"/>
            <w:vAlign w:val="center"/>
          </w:tcPr>
          <w:p>
            <w:pPr>
              <w:pStyle w:val="TableContents"/>
              <w:spacing w:before="0" w:after="283"/>
              <w:rPr/>
            </w:pPr>
            <w:r>
              <w:rPr/>
              <w:t> </w:t>
            </w:r>
          </w:p>
        </w:tc>
        <w:tc>
          <w:tcPr>
            <w:tcW w:w="2500"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By:</w:t>
            </w:r>
          </w:p>
        </w:tc>
        <w:tc>
          <w:tcPr>
            <w:tcW w:w="1955" w:type="dxa"/>
            <w:tcBorders>
              <w:bottom w:val="single" w:sz="8" w:space="0" w:color="000000"/>
            </w:tcBorders>
            <w:shd w:fill="auto" w:val="clear"/>
            <w:tcMar>
              <w:bottom w:w="28" w:type="dxa"/>
            </w:tcMar>
            <w:vAlign w:val="center"/>
          </w:tcPr>
          <w:p>
            <w:pPr>
              <w:pStyle w:val="TableContents"/>
              <w:spacing w:before="0" w:after="283"/>
              <w:rPr>
                <w:sz w:val="20"/>
              </w:rPr>
            </w:pPr>
            <w:r>
              <w:rPr>
                <w:sz w:val="20"/>
              </w:rPr>
              <w:t>/s/ Linghui Kong</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1955" w:type="dxa"/>
            <w:tcBorders/>
            <w:shd w:fill="auto" w:val="clear"/>
            <w:vAlign w:val="center"/>
          </w:tcPr>
          <w:p>
            <w:pPr>
              <w:pStyle w:val="TableContents"/>
              <w:spacing w:before="0" w:after="283"/>
              <w:rPr>
                <w:sz w:val="20"/>
              </w:rPr>
            </w:pPr>
            <w:r>
              <w:rPr>
                <w:sz w:val="20"/>
              </w:rPr>
              <w:t>Linghui Kong</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1955" w:type="dxa"/>
            <w:tcBorders/>
            <w:shd w:fill="auto" w:val="clear"/>
            <w:vAlign w:val="center"/>
          </w:tcPr>
          <w:p>
            <w:pPr>
              <w:pStyle w:val="TableContents"/>
              <w:spacing w:before="0" w:after="283"/>
              <w:rPr>
                <w:sz w:val="20"/>
              </w:rPr>
            </w:pPr>
            <w:r>
              <w:rPr>
                <w:sz w:val="20"/>
              </w:rPr>
              <w:t>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19,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rPr/>
      </w:pPr>
      <w:bookmarkStart w:id="2" w:name="tm237717d4_ex99-1.htm"/>
      <w:bookmarkStart w:id="3" w:name="kstm237717d4_ex991"/>
      <w:bookmarkEnd w:id="2"/>
      <w:bookmarkEnd w:id="3"/>
      <w:r>
        <w:rPr/>
        <w:t> </w:t>
      </w:r>
    </w:p>
    <w:p>
      <w:pPr>
        <w:pStyle w:val="TextBody"/>
        <w:jc w:val="right"/>
        <w:rPr>
          <w:b/>
        </w:rPr>
      </w:pPr>
      <w:r>
        <w:rPr>
          <w:b/>
        </w:rPr>
        <w:t>Exhibit 99.1</w:t>
      </w:r>
    </w:p>
    <w:p>
      <w:pPr>
        <w:pStyle w:val="TextBody"/>
        <w:rPr/>
      </w:pPr>
      <w:r>
        <w:rPr/>
        <w:t> </w:t>
      </w:r>
    </w:p>
    <w:p>
      <w:pPr>
        <w:pStyle w:val="TextBody"/>
        <w:rPr/>
      </w:pPr>
      <w:r>
        <w:rPr/>
        <w:drawing>
          <wp:inline distT="0" distB="0" distL="0" distR="0">
            <wp:extent cx="168592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85925" cy="409575"/>
                    </a:xfrm>
                    <a:prstGeom prst="rect">
                      <a:avLst/>
                    </a:prstGeom>
                  </pic:spPr>
                </pic:pic>
              </a:graphicData>
            </a:graphic>
          </wp:inline>
        </w:drawing>
      </w:r>
      <w:r>
        <w:rPr/>
        <w:t> </w:t>
      </w:r>
    </w:p>
    <w:p>
      <w:pPr>
        <w:pStyle w:val="TextBody"/>
        <w:rPr/>
      </w:pPr>
      <w:r>
        <w:rPr/>
        <w:t> </w:t>
      </w:r>
    </w:p>
    <w:p>
      <w:pPr>
        <w:pStyle w:val="TextBody"/>
        <w:spacing w:before="60" w:after="60"/>
        <w:rPr>
          <w:bdr w:val="single" w:sz="8" w:space="1" w:color="000000"/>
        </w:rPr>
      </w:pPr>
      <w:r>
        <w:rPr>
          <w:bdr w:val="single" w:sz="8"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Reports Financial Results for the Full Year 2022 and Operational Update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 April 19, 2023 – Bitdeer Technologies Group (NASDAQ: BTDR) (“Bitdeer” or the “Company”), a world-leading technology company for the cryptocurrency mining community, today announced its financial results for the year ended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Full Year 2022 Financial and Operational Highlights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vAlign w:val="center"/>
          </w:tcPr>
          <w:p>
            <w:pPr>
              <w:pStyle w:val="TableContents"/>
              <w:spacing w:before="0" w:after="283"/>
              <w:rPr>
                <w:rFonts w:ascii="Symbol" w:hAnsi="Symbol"/>
                <w:b/>
              </w:rPr>
            </w:pPr>
            <w:r>
              <w:rPr>
                <w:rFonts w:ascii="Symbol" w:hAnsi="Symbol"/>
                <w:b/>
              </w:rPr>
              <w:t>·</w:t>
            </w:r>
          </w:p>
        </w:tc>
        <w:tc>
          <w:tcPr>
            <w:tcW w:w="10065" w:type="dxa"/>
            <w:tcBorders/>
            <w:shd w:fill="auto" w:val="clear"/>
            <w:vAlign w:val="center"/>
          </w:tcPr>
          <w:p>
            <w:pPr>
              <w:pStyle w:val="TableContents"/>
              <w:spacing w:before="0" w:after="283"/>
              <w:jc w:val="both"/>
              <w:rPr/>
            </w:pPr>
            <w:r>
              <w:rPr>
                <w:b/>
              </w:rPr>
              <w:t xml:space="preserve">Total revenue </w:t>
            </w:r>
            <w:r>
              <w:rPr/>
              <w:t xml:space="preserve">was $333.3 million in 2022, compared to $394.7 million in 2021, primarily due to a decrease in revenue generated from proprietary mining, sales of mining machines, and </w:t>
            </w:r>
            <w:r>
              <w:rPr>
                <w:i/>
              </w:rPr>
              <w:t>Cloud Hash Rate</w:t>
            </w:r>
            <w:r>
              <w:rPr/>
              <w:t>, partially offset by an increase in revenue generated from three types of hosting services, which was partially driven by an expansion of the Company’s mining datacenter operations.</w:t>
            </w:r>
          </w:p>
        </w:tc>
      </w:tr>
    </w:tbl>
    <w:p>
      <w:pPr>
        <w:pStyle w:val="TextBody"/>
        <w:spacing w:before="0" w:after="0"/>
        <w:ind w:left="0" w:right="0" w:hanging="0"/>
        <w:rPr>
          <w:caps w:val="false"/>
          <w:smallCaps w:val="false"/>
        </w:rPr>
      </w:pPr>
      <w:r>
        <w:rPr>
          <w:caps w:val="false"/>
          <w:smallCaps w:val="false"/>
        </w:rPr>
        <w:t> </w:t>
      </w:r>
    </w:p>
    <w:tbl>
      <w:tblPr>
        <w:tblW w:w="8275" w:type="dxa"/>
        <w:jc w:val="left"/>
        <w:tblInd w:w="0" w:type="dxa"/>
        <w:tblCellMar>
          <w:top w:w="0" w:type="dxa"/>
          <w:left w:w="0" w:type="dxa"/>
          <w:bottom w:w="0" w:type="dxa"/>
          <w:right w:w="0" w:type="dxa"/>
        </w:tblCellMar>
      </w:tblPr>
      <w:tblGrid>
        <w:gridCol w:w="140"/>
        <w:gridCol w:w="8135"/>
      </w:tblGrid>
      <w:tr>
        <w:trPr/>
        <w:tc>
          <w:tcPr>
            <w:tcW w:w="140" w:type="dxa"/>
            <w:tcBorders/>
            <w:shd w:fill="auto" w:val="clear"/>
            <w:vAlign w:val="center"/>
          </w:tcPr>
          <w:p>
            <w:pPr>
              <w:pStyle w:val="TableContents"/>
              <w:spacing w:before="0" w:after="283"/>
              <w:rPr>
                <w:rFonts w:ascii="Symbol" w:hAnsi="Symbol"/>
                <w:b/>
              </w:rPr>
            </w:pPr>
            <w:r>
              <w:rPr>
                <w:rFonts w:ascii="Symbol" w:hAnsi="Symbol"/>
                <w:b/>
              </w:rPr>
              <w:t>·</w:t>
            </w:r>
          </w:p>
        </w:tc>
        <w:tc>
          <w:tcPr>
            <w:tcW w:w="8135" w:type="dxa"/>
            <w:tcBorders/>
            <w:shd w:fill="auto" w:val="clear"/>
            <w:vAlign w:val="center"/>
          </w:tcPr>
          <w:p>
            <w:pPr>
              <w:pStyle w:val="TableContents"/>
              <w:spacing w:before="0" w:after="283"/>
              <w:jc w:val="both"/>
              <w:rPr/>
            </w:pPr>
            <w:r>
              <w:rPr>
                <w:b/>
              </w:rPr>
              <w:t>Net loss</w:t>
            </w:r>
            <w:r>
              <w:rPr/>
              <w:t xml:space="preserve"> was $60.4 million in 2022, compared to a net profit of $82.6 million in 2021.</w:t>
            </w:r>
          </w:p>
        </w:tc>
      </w:tr>
    </w:tbl>
    <w:p>
      <w:pPr>
        <w:pStyle w:val="TextBody"/>
        <w:spacing w:before="0" w:after="0"/>
        <w:ind w:left="0" w:right="0" w:hanging="0"/>
        <w:rPr>
          <w:caps w:val="false"/>
          <w:smallCaps w:val="false"/>
        </w:rPr>
      </w:pPr>
      <w:r>
        <w:rPr>
          <w:caps w:val="false"/>
          <w:smallCaps w:val="false"/>
        </w:rPr>
        <w:t> </w:t>
      </w:r>
    </w:p>
    <w:tbl>
      <w:tblPr>
        <w:tblW w:w="7915" w:type="dxa"/>
        <w:jc w:val="left"/>
        <w:tblInd w:w="0" w:type="dxa"/>
        <w:tblCellMar>
          <w:top w:w="0" w:type="dxa"/>
          <w:left w:w="0" w:type="dxa"/>
          <w:bottom w:w="0" w:type="dxa"/>
          <w:right w:w="0" w:type="dxa"/>
        </w:tblCellMar>
      </w:tblPr>
      <w:tblGrid>
        <w:gridCol w:w="140"/>
        <w:gridCol w:w="7775"/>
      </w:tblGrid>
      <w:tr>
        <w:trPr/>
        <w:tc>
          <w:tcPr>
            <w:tcW w:w="140" w:type="dxa"/>
            <w:tcBorders/>
            <w:shd w:fill="auto" w:val="clear"/>
            <w:vAlign w:val="center"/>
          </w:tcPr>
          <w:p>
            <w:pPr>
              <w:pStyle w:val="TableContents"/>
              <w:spacing w:before="0" w:after="283"/>
              <w:rPr>
                <w:rFonts w:ascii="Symbol" w:hAnsi="Symbol"/>
                <w:b/>
              </w:rPr>
            </w:pPr>
            <w:r>
              <w:rPr>
                <w:rFonts w:ascii="Symbol" w:hAnsi="Symbol"/>
                <w:b/>
              </w:rPr>
              <w:t>·</w:t>
            </w:r>
          </w:p>
        </w:tc>
        <w:tc>
          <w:tcPr>
            <w:tcW w:w="7775" w:type="dxa"/>
            <w:tcBorders/>
            <w:shd w:fill="auto" w:val="clear"/>
            <w:vAlign w:val="center"/>
          </w:tcPr>
          <w:p>
            <w:pPr>
              <w:pStyle w:val="TableContents"/>
              <w:spacing w:before="0" w:after="283"/>
              <w:jc w:val="both"/>
              <w:rPr/>
            </w:pPr>
            <w:r>
              <w:rPr>
                <w:b/>
              </w:rPr>
              <w:t>Adjusted profit</w:t>
            </w:r>
            <w:r>
              <w:rPr>
                <w:rFonts w:ascii="Times New Roman;Times;Serif" w:hAnsi="Times New Roman;Times;Serif"/>
                <w:b/>
                <w:position w:val="7"/>
                <w:sz w:val="16"/>
                <w:sz w:val="20"/>
              </w:rPr>
              <w:t xml:space="preserve">1 </w:t>
            </w:r>
            <w:r>
              <w:rPr/>
              <w:t>was $30.3 million in 2022, compared to $171.0 million in 2021.</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vAlign w:val="center"/>
          </w:tcPr>
          <w:p>
            <w:pPr>
              <w:pStyle w:val="TableContents"/>
              <w:spacing w:before="0" w:after="283"/>
              <w:rPr>
                <w:rFonts w:ascii="Symbol" w:hAnsi="Symbol"/>
              </w:rPr>
            </w:pPr>
            <w:r>
              <w:rPr>
                <w:rFonts w:ascii="Symbol" w:hAnsi="Symbol"/>
              </w:rPr>
              <w:t>·</w:t>
            </w:r>
          </w:p>
        </w:tc>
        <w:tc>
          <w:tcPr>
            <w:tcW w:w="10065" w:type="dxa"/>
            <w:tcBorders/>
            <w:shd w:fill="auto" w:val="clear"/>
            <w:vAlign w:val="center"/>
          </w:tcPr>
          <w:p>
            <w:pPr>
              <w:pStyle w:val="TableContents"/>
              <w:spacing w:before="0" w:after="283"/>
              <w:jc w:val="both"/>
              <w:rPr/>
            </w:pPr>
            <w:r>
              <w:rPr>
                <w:b/>
              </w:rPr>
              <w:t>Adjusted EBITDA</w:t>
            </w:r>
            <w:r>
              <w:rPr>
                <w:rFonts w:ascii="Times New Roman;Times;Serif" w:hAnsi="Times New Roman;Times;Serif"/>
                <w:b/>
                <w:position w:val="7"/>
                <w:sz w:val="16"/>
                <w:sz w:val="20"/>
              </w:rPr>
              <w:t xml:space="preserve">2 </w:t>
            </w:r>
            <w:r>
              <w:rPr/>
              <w:t>was $93.2 million in 2022, compared to $281.8 million in 2021, primarily due to a decrease in revenue, an increase in electricity cost in operating and hosting mining machines, a decrease in gain on disposal of cryptocurrencies, and an increase in operational expenses.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vAlign w:val="center"/>
          </w:tcPr>
          <w:p>
            <w:pPr>
              <w:pStyle w:val="TableContents"/>
              <w:spacing w:before="0" w:after="283"/>
              <w:rPr>
                <w:rFonts w:ascii="Symbol" w:hAnsi="Symbol"/>
                <w:b/>
              </w:rPr>
            </w:pPr>
            <w:r>
              <w:rPr>
                <w:rFonts w:ascii="Symbol" w:hAnsi="Symbol"/>
                <w:b/>
              </w:rPr>
              <w:t>·</w:t>
            </w:r>
          </w:p>
        </w:tc>
        <w:tc>
          <w:tcPr>
            <w:tcW w:w="10065" w:type="dxa"/>
            <w:tcBorders/>
            <w:shd w:fill="auto" w:val="clear"/>
            <w:vAlign w:val="center"/>
          </w:tcPr>
          <w:p>
            <w:pPr>
              <w:pStyle w:val="TableContents"/>
              <w:spacing w:before="0" w:after="283"/>
              <w:jc w:val="both"/>
              <w:rPr/>
            </w:pPr>
            <w:r>
              <w:rPr>
                <w:b/>
              </w:rPr>
              <w:t xml:space="preserve">Managing hash rate </w:t>
            </w:r>
            <w:r>
              <w:rPr/>
              <w:t>was 14.0 exahash per second (“EH/s”) as of December 31, 2022, a 72.8% increase from 8.1EH/s as of December 31, 2021.</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vAlign w:val="center"/>
          </w:tcPr>
          <w:p>
            <w:pPr>
              <w:pStyle w:val="TableContents"/>
              <w:spacing w:before="0" w:after="283"/>
              <w:rPr>
                <w:rFonts w:ascii="Symbol" w:hAnsi="Symbol"/>
                <w:b/>
              </w:rPr>
            </w:pPr>
            <w:r>
              <w:rPr>
                <w:rFonts w:ascii="Symbol" w:hAnsi="Symbol"/>
                <w:b/>
              </w:rPr>
              <w:t>·</w:t>
            </w:r>
          </w:p>
        </w:tc>
        <w:tc>
          <w:tcPr>
            <w:tcW w:w="10065" w:type="dxa"/>
            <w:tcBorders/>
            <w:shd w:fill="auto" w:val="clear"/>
            <w:vAlign w:val="center"/>
          </w:tcPr>
          <w:p>
            <w:pPr>
              <w:pStyle w:val="TableContents"/>
              <w:spacing w:before="0" w:after="283"/>
              <w:jc w:val="both"/>
              <w:rPr/>
            </w:pPr>
            <w:r>
              <w:rPr>
                <w:b/>
              </w:rPr>
              <w:t xml:space="preserve">Electricity capacity </w:t>
            </w:r>
            <w:r>
              <w:rPr/>
              <w:t>was 775MW as of December 31, 2022, a 92.8% increase from 402MW as of December 31, 2021.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Linghui Kong, Chief Executive Officer of Bitdeer, said, “Despite the volatility in cryptocurrency prices and temporary dislocation in the crypto industry, we bucked the trend and achieved a positive adjusted net profit and a positive adjusted EBITDA in the full year of 2022, thus demonstrating the viability and resilience of our business model. We successfully expanded our infrastructure to 775 megawatts in electricity capacity in 2022, and plan to increase our scale even further to up to 1,524 megawatts in the future. Meanwhile, through prudent expense management, we maintained an abundant capital reserve as of the end of 2022, including $231.4 million in cash and cash equivalents and $31.1 million in fiat currency investment redeemable on demand. Becoming a public company in the United States on April 14, 2023 marks the beginning of a new journey for us, a journey we plan to traverse with renewed energy, sharpened vision, and unwavering commitment to generating lasting value for our shareholders.”</w:t>
      </w:r>
    </w:p>
    <w:p>
      <w:pPr>
        <w:pStyle w:val="TextBody"/>
        <w:spacing w:before="0" w:after="0"/>
        <w:ind w:left="0" w:right="0" w:hanging="0"/>
        <w:rPr>
          <w:caps w:val="false"/>
          <w:smallCaps w:val="false"/>
        </w:rPr>
      </w:pPr>
      <w:r>
        <w:rPr>
          <w:caps w:val="false"/>
          <w:smallCaps w:val="false"/>
        </w:rPr>
        <w:t> </w:t>
      </w:r>
    </w:p>
    <w:p>
      <w:pPr>
        <w:pStyle w:val="TextBody"/>
        <w:spacing w:before="60" w:after="60"/>
        <w:rPr>
          <w:bdr w:val="single" w:sz="8" w:space="1" w:color="000000"/>
        </w:rPr>
      </w:pPr>
      <w:r>
        <w:rPr>
          <w:bdr w:val="single" w:sz="8" w:space="1" w:color="000000"/>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Adjusted profit is a non-IFRS financial measure. See the “Use of Non-IFRS Financial Measures” section of this communication for the definition of such non-IFRS measure.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2 </w:t>
      </w:r>
      <w:r>
        <w:rPr>
          <w:rFonts w:ascii="Times New Roman;Times;Serif" w:hAnsi="Times New Roman;Times;Serif"/>
          <w:b w:val="false"/>
          <w:i w:val="false"/>
          <w:caps w:val="false"/>
          <w:smallCaps w:val="false"/>
          <w:sz w:val="20"/>
        </w:rPr>
        <w:t>Adjusted EBITDA is a non-IFRS financial measure. See the “Use of Non-IFRS Financial Measures” section of this communication for the definition of such non-IFRS measure</w:t>
      </w:r>
      <w:r>
        <w:rPr>
          <w:rFonts w:ascii="Times New Roman;Times;Serif" w:hAnsi="Times New Roman;Times;Serif"/>
          <w:b w:val="false"/>
          <w:i w:val="false"/>
          <w:caps w:val="false"/>
          <w:smallCaps w:val="false"/>
          <w:position w:val="7"/>
          <w:sz w:val="16"/>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sz w:val="20"/>
          <w:bdr w:val="single" w:sz="8" w:space="1" w:color="000000"/>
        </w:rPr>
      </w:pPr>
      <w:r>
        <w:rPr>
          <w:sz w:val="20"/>
          <w:bdr w:val="single" w:sz="8" w:space="1" w:color="000000"/>
        </w:rPr>
        <w:t>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rPr>
          <w:caps w:val="false"/>
          <w:smallCaps w:val="false"/>
        </w:rPr>
        <w:drawing>
          <wp:inline distT="0" distB="0" distL="0" distR="0">
            <wp:extent cx="1657350" cy="409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57350" cy="409575"/>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60" w:after="6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Full Year 2022 Financial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was $333.3 million, compared to $394.7 million in the full year of 2021.</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vAlign w:val="center"/>
          </w:tcPr>
          <w:p>
            <w:pPr>
              <w:pStyle w:val="TableContents"/>
              <w:spacing w:before="0" w:after="283"/>
              <w:rPr>
                <w:rFonts w:ascii="Symbol" w:hAnsi="Symbol"/>
                <w:b/>
              </w:rPr>
            </w:pPr>
            <w:r>
              <w:rPr>
                <w:rFonts w:ascii="Symbol" w:hAnsi="Symbol"/>
                <w:b/>
              </w:rPr>
              <w:t>·</w:t>
            </w:r>
          </w:p>
        </w:tc>
        <w:tc>
          <w:tcPr>
            <w:tcW w:w="10065" w:type="dxa"/>
            <w:tcBorders/>
            <w:shd w:fill="auto" w:val="clear"/>
            <w:vAlign w:val="center"/>
          </w:tcPr>
          <w:p>
            <w:pPr>
              <w:pStyle w:val="TableContents"/>
              <w:spacing w:before="0" w:after="283"/>
              <w:jc w:val="both"/>
              <w:rPr/>
            </w:pPr>
            <w:r>
              <w:rPr/>
              <w:t>Revenue from proprietary mining business was $62.4 million, compared to $191.7 million in the full year of 2021, primarily due to the price drop of Bitcoin and a decrease in the comparative number of Bitcoin mined from proprietary mining, resulting from a decrease in the amount of hash rate allocated to the Company’s proprietary mining business as a percentage of the total network hash rate.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vAlign w:val="center"/>
          </w:tcPr>
          <w:p>
            <w:pPr>
              <w:pStyle w:val="TableContents"/>
              <w:spacing w:before="0" w:after="283"/>
              <w:rPr>
                <w:rFonts w:ascii="Symbol" w:hAnsi="Symbol"/>
                <w:b/>
              </w:rPr>
            </w:pPr>
            <w:r>
              <w:rPr>
                <w:rFonts w:ascii="Symbol" w:hAnsi="Symbol"/>
                <w:b/>
              </w:rPr>
              <w:t>·</w:t>
            </w:r>
          </w:p>
        </w:tc>
        <w:tc>
          <w:tcPr>
            <w:tcW w:w="10065" w:type="dxa"/>
            <w:tcBorders/>
            <w:shd w:fill="auto" w:val="clear"/>
            <w:vAlign w:val="center"/>
          </w:tcPr>
          <w:p>
            <w:pPr>
              <w:pStyle w:val="TableContents"/>
              <w:spacing w:before="0" w:after="283"/>
              <w:jc w:val="both"/>
              <w:rPr/>
            </w:pPr>
            <w:r>
              <w:rPr/>
              <w:t xml:space="preserve">Revenue from </w:t>
            </w:r>
            <w:r>
              <w:rPr>
                <w:i/>
              </w:rPr>
              <w:t>Cloud Hash Rate</w:t>
            </w:r>
            <w:r>
              <w:rPr/>
              <w:t xml:space="preserve"> was $121.3 million, compared to $124.2 million in the full year of 2021, primarily due to increases in revenue from hash rate subscription and revenue from electricity subscription, offset by a decrease in revenue from additional consideration from acceleration plan arrangements.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vAlign w:val="center"/>
          </w:tcPr>
          <w:p>
            <w:pPr>
              <w:pStyle w:val="TableContents"/>
              <w:spacing w:before="0" w:after="283"/>
              <w:rPr>
                <w:rFonts w:ascii="Symbol" w:hAnsi="Symbol"/>
                <w:b/>
              </w:rPr>
            </w:pPr>
            <w:r>
              <w:rPr>
                <w:rFonts w:ascii="Symbol" w:hAnsi="Symbol"/>
                <w:b/>
              </w:rPr>
              <w:t>·</w:t>
            </w:r>
          </w:p>
        </w:tc>
        <w:tc>
          <w:tcPr>
            <w:tcW w:w="10065" w:type="dxa"/>
            <w:tcBorders/>
            <w:shd w:fill="auto" w:val="clear"/>
            <w:vAlign w:val="center"/>
          </w:tcPr>
          <w:p>
            <w:pPr>
              <w:pStyle w:val="TableContents"/>
              <w:spacing w:before="0" w:after="283"/>
              <w:jc w:val="both"/>
              <w:rPr/>
            </w:pPr>
            <w:r>
              <w:rPr/>
              <w:t xml:space="preserve">Revenue from </w:t>
            </w:r>
            <w:r>
              <w:rPr>
                <w:i/>
              </w:rPr>
              <w:t>Cloud Hosting</w:t>
            </w:r>
            <w:r>
              <w:rPr/>
              <w:t xml:space="preserve"> was $12.7 million, compared to $7.6 million in the full year of 2021, primary because nearly half of </w:t>
            </w:r>
            <w:r>
              <w:rPr>
                <w:i/>
              </w:rPr>
              <w:t>Cloud Hosting</w:t>
            </w:r>
            <w:r>
              <w:rPr/>
              <w:t xml:space="preserve"> orders in 2021 were subscribed in the second half of 2021, which contributed to the revenue in 2022, while nearly all </w:t>
            </w:r>
            <w:r>
              <w:rPr>
                <w:i/>
              </w:rPr>
              <w:t>Cloud Hosting</w:t>
            </w:r>
            <w:r>
              <w:rPr/>
              <w:t xml:space="preserve"> orders in 2022 contributed to the revenue in 2022.</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vAlign w:val="center"/>
          </w:tcPr>
          <w:p>
            <w:pPr>
              <w:pStyle w:val="TableContents"/>
              <w:spacing w:before="0" w:after="283"/>
              <w:rPr>
                <w:rFonts w:ascii="Symbol" w:hAnsi="Symbol"/>
                <w:b/>
              </w:rPr>
            </w:pPr>
            <w:r>
              <w:rPr>
                <w:rFonts w:ascii="Symbol" w:hAnsi="Symbol"/>
                <w:b/>
              </w:rPr>
              <w:t>·</w:t>
            </w:r>
          </w:p>
        </w:tc>
        <w:tc>
          <w:tcPr>
            <w:tcW w:w="10065" w:type="dxa"/>
            <w:tcBorders/>
            <w:shd w:fill="auto" w:val="clear"/>
            <w:vAlign w:val="center"/>
          </w:tcPr>
          <w:p>
            <w:pPr>
              <w:pStyle w:val="TableContents"/>
              <w:spacing w:before="0" w:after="283"/>
              <w:jc w:val="both"/>
              <w:rPr/>
            </w:pPr>
            <w:r>
              <w:rPr/>
              <w:t xml:space="preserve">Revenue from </w:t>
            </w:r>
            <w:r>
              <w:rPr>
                <w:i/>
              </w:rPr>
              <w:t>General Hosting</w:t>
            </w:r>
            <w:r>
              <w:rPr/>
              <w:t xml:space="preserve"> was $99.3 million, compared to $18.3 million in the full year of 2021, primarily due to an increase in the mining site capacity as a result of the expansion of the Company’s mining datacenter operations.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vAlign w:val="center"/>
          </w:tcPr>
          <w:p>
            <w:pPr>
              <w:pStyle w:val="TableContents"/>
              <w:spacing w:before="0" w:after="283"/>
              <w:rPr>
                <w:rFonts w:ascii="Symbol" w:hAnsi="Symbol"/>
                <w:b/>
              </w:rPr>
            </w:pPr>
            <w:r>
              <w:rPr>
                <w:rFonts w:ascii="Symbol" w:hAnsi="Symbol"/>
                <w:b/>
              </w:rPr>
              <w:t>·</w:t>
            </w:r>
          </w:p>
        </w:tc>
        <w:tc>
          <w:tcPr>
            <w:tcW w:w="10065" w:type="dxa"/>
            <w:tcBorders/>
            <w:shd w:fill="auto" w:val="clear"/>
            <w:vAlign w:val="center"/>
          </w:tcPr>
          <w:p>
            <w:pPr>
              <w:pStyle w:val="TableContents"/>
              <w:spacing w:before="0" w:after="283"/>
              <w:jc w:val="both"/>
              <w:rPr/>
            </w:pPr>
            <w:r>
              <w:rPr/>
              <w:t xml:space="preserve">Revenue from </w:t>
            </w:r>
            <w:r>
              <w:rPr>
                <w:i/>
              </w:rPr>
              <w:t>Membership Hosting</w:t>
            </w:r>
            <w:r>
              <w:rPr/>
              <w:t xml:space="preserve"> was $26.1 million, compared to nil in the full year of 2021, primarily due to revenue generated from the Company’s North America mining datacenter, which began to deliver capacity in the second half of 2022.</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vAlign w:val="center"/>
          </w:tcPr>
          <w:p>
            <w:pPr>
              <w:pStyle w:val="TableContents"/>
              <w:spacing w:before="0" w:after="283"/>
              <w:rPr>
                <w:rFonts w:ascii="Symbol" w:hAnsi="Symbol"/>
                <w:b/>
              </w:rPr>
            </w:pPr>
            <w:r>
              <w:rPr>
                <w:rFonts w:ascii="Symbol" w:hAnsi="Symbol"/>
                <w:b/>
              </w:rPr>
              <w:t>·</w:t>
            </w:r>
          </w:p>
        </w:tc>
        <w:tc>
          <w:tcPr>
            <w:tcW w:w="10065" w:type="dxa"/>
            <w:tcBorders/>
            <w:shd w:fill="auto" w:val="clear"/>
            <w:vAlign w:val="center"/>
          </w:tcPr>
          <w:p>
            <w:pPr>
              <w:pStyle w:val="TableContents"/>
              <w:spacing w:before="0" w:after="283"/>
              <w:jc w:val="both"/>
              <w:rPr/>
            </w:pPr>
            <w:r>
              <w:rPr/>
              <w:t>Revenue from sales of mining machines was $0.7 million, compared to $45.7 million in the full year of 2021. The Company currently does not expect to sell mining machines in the near-future.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$83.3 million in the full year of 2022, representing a 25.0% gross margin, compared to $241.4 million, or a 61.2% gross margin, in the full year of 2021, mainly due to a decrease in total revenue and an increase in electricity cost and staff costs.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of below operating expenses in the full year of 2022 was $140.6 million, as compared to $127.7 million in the full year of 2021.</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vAlign w:val="center"/>
          </w:tcPr>
          <w:p>
            <w:pPr>
              <w:pStyle w:val="TableContents"/>
              <w:spacing w:before="0" w:after="283"/>
              <w:rPr>
                <w:rFonts w:ascii="Symbol" w:hAnsi="Symbol"/>
                <w:b/>
              </w:rPr>
            </w:pPr>
            <w:r>
              <w:rPr>
                <w:rFonts w:ascii="Symbol" w:hAnsi="Symbol"/>
                <w:b/>
              </w:rPr>
              <w:t>·</w:t>
            </w:r>
          </w:p>
        </w:tc>
        <w:tc>
          <w:tcPr>
            <w:tcW w:w="10065" w:type="dxa"/>
            <w:tcBorders/>
            <w:shd w:fill="auto" w:val="clear"/>
            <w:vAlign w:val="center"/>
          </w:tcPr>
          <w:p>
            <w:pPr>
              <w:pStyle w:val="TableContents"/>
              <w:spacing w:before="0" w:after="283"/>
              <w:jc w:val="both"/>
              <w:rPr/>
            </w:pPr>
            <w:r>
              <w:rPr/>
              <w:t>Selling expenses were $11.7 million, compared to $8.4 million in the full year of 2021, primarily due to increases in share-based compensation and other staff costs to sales personnel.</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vAlign w:val="center"/>
          </w:tcPr>
          <w:p>
            <w:pPr>
              <w:pStyle w:val="TableContents"/>
              <w:spacing w:before="0" w:after="283"/>
              <w:rPr>
                <w:rFonts w:ascii="Symbol" w:hAnsi="Symbol"/>
                <w:b/>
              </w:rPr>
            </w:pPr>
            <w:r>
              <w:rPr>
                <w:rFonts w:ascii="Symbol" w:hAnsi="Symbol"/>
                <w:b/>
              </w:rPr>
              <w:t>·</w:t>
            </w:r>
          </w:p>
        </w:tc>
        <w:tc>
          <w:tcPr>
            <w:tcW w:w="10065" w:type="dxa"/>
            <w:tcBorders/>
            <w:shd w:fill="auto" w:val="clear"/>
            <w:vAlign w:val="center"/>
          </w:tcPr>
          <w:p>
            <w:pPr>
              <w:pStyle w:val="TableContents"/>
              <w:spacing w:before="0" w:after="283"/>
              <w:jc w:val="both"/>
              <w:rPr/>
            </w:pPr>
            <w:r>
              <w:rPr/>
              <w:t>General and administrative expenses were $93.5 million, compared to $89.7 million in the full year of 2021, primarily due to increases in operations expenses and staff costs to general and administrative personnel.</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vAlign w:val="center"/>
          </w:tcPr>
          <w:p>
            <w:pPr>
              <w:pStyle w:val="TableContents"/>
              <w:spacing w:before="0" w:after="283"/>
              <w:rPr>
                <w:rFonts w:ascii="Symbol" w:hAnsi="Symbol"/>
                <w:b/>
              </w:rPr>
            </w:pPr>
            <w:r>
              <w:rPr>
                <w:rFonts w:ascii="Symbol" w:hAnsi="Symbol"/>
                <w:b/>
              </w:rPr>
              <w:t>·</w:t>
            </w:r>
          </w:p>
        </w:tc>
        <w:tc>
          <w:tcPr>
            <w:tcW w:w="10065" w:type="dxa"/>
            <w:tcBorders/>
            <w:shd w:fill="auto" w:val="clear"/>
            <w:vAlign w:val="center"/>
          </w:tcPr>
          <w:p>
            <w:pPr>
              <w:pStyle w:val="TableContents"/>
              <w:spacing w:before="0" w:after="283"/>
              <w:jc w:val="both"/>
              <w:rPr/>
            </w:pPr>
            <w:r>
              <w:rPr/>
              <w:t>Research and development expenses were $35.4 million, compared to $29.5 million in the full year of 2021, primarily due to increases in share-based compensation and staff costs to research and development personnel.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drawing>
          <wp:inline distT="0" distB="0" distL="0" distR="0">
            <wp:extent cx="1666875"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66875" cy="409575"/>
                    </a:xfrm>
                    <a:prstGeom prst="rect">
                      <a:avLst/>
                    </a:prstGeom>
                  </pic:spPr>
                </pic:pic>
              </a:graphicData>
            </a:graphic>
          </wp:inline>
        </w:drawing>
      </w: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60" w:after="6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$60.4 million, compared to a net profit of $82.6 million in the full year of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Profit (Non-IFRS)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profit was $30.3 million, compared to $171.0 million in the full year of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(Non-IFRS)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was $93.2 million, compared to $281.8 million in the full year of 2021, primarily due to a decrease in revenue, an increase in electricity cost, a decrease in gain on disposal of cryptocurrencies, and an increase in operational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held $231.4 million in cash and cash equivalents, as compared to $372.1 million as of December 31, 2021. Use of cash included active construction of mining datacenters in North America and Norway, purchase of investment property assets through the acquisition of Asia Freeport Holdings Pte. Ltd, and investment in unlisted equity and debt instruments. As of December 31, 2022, the Company also held a fiat currency investment of $31.1 million in unlisted debt instruments, redeemable on demand.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Bitdeer Technologies Group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is a world-leading technology company for the cryptocurrency mining community headquartered in Singapore. Bitdeer has committed to providing comprehensive digital asset mining solutions for its customers. Bitdeer handles complex processes involved in mining such as miner procurement, transport logistics, mining datacenter design and construction, mining machine management and daily operations. Bitdeer has mining datacenters deployed in the United States and Norway. To learn more, visit</w:t>
      </w:r>
      <w:r>
        <w:rPr>
          <w:rFonts w:ascii="Times New Roman;Times;Serif" w:hAnsi="Times New Roman;Times;Serif"/>
          <w:b w:val="false"/>
          <w:i w:val="false"/>
          <w:caps w:val="false"/>
          <w:smallCaps w:val="false"/>
          <w:sz w:val="20"/>
          <w:u w:val="single"/>
        </w:rPr>
        <w:t> https://ir.bitdeer.com/</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registration statement on Form F-4 and shell company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Non-IFRS Financial Measures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Company’s business, the Company considers and uses non-IFRS measures, adjusted EBITDA and adjusted profit/(loss), as supplemental measures to review and assess its operating performance. The Company defines adjusted EBITDA as earnings before interest, taxes, depreciation and amortization, further adjusted to exclude share-based payment expenses under IFRS 2, and defines adjusted profit/(loss) as profit/(loss) adjusted to exclude share-based payment expenses under IFRS 2. The Company presents these non-IFRS financial measures because they are used by its management to evaluate its operating performance and formulate business plans. The Company also believes that the use of these non-IFRS measures facilitate investors’ assessment of its operating performance. These measures are not necessarily comparable to similarly titled measures used by other companies. As a result, investors should not consider these measures in isolation from, or as a substitute analysis for, the Company’s profit/(loss) for the periods, as determined in accordance with IFRS.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sz w:val="20"/>
          <w:bdr w:val="single" w:sz="8" w:space="1" w:color="000000"/>
        </w:rPr>
      </w:pPr>
      <w:r>
        <w:rPr>
          <w:sz w:val="20"/>
          <w:bdr w:val="single" w:sz="8" w:space="1" w:color="000000"/>
        </w:rPr>
        <w:t>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drawing>
          <wp:inline distT="0" distB="0" distL="0" distR="0">
            <wp:extent cx="1666875" cy="419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66875" cy="419100"/>
                    </a:xfrm>
                    <a:prstGeom prst="rect">
                      <a:avLst/>
                    </a:prstGeom>
                  </pic:spPr>
                </pic:pic>
              </a:graphicData>
            </a:graphic>
          </wp:inline>
        </w:drawing>
      </w: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60" w:after="6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compensates for these limitations by reconciling these non-IFRS financial measures to the nearest IFRS performance measure, all of which should be considered when evaluating its performance. The Company encourages investors to review its financial information in its entirety and not rely on a single financial measure.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reconciliation of profit/(loss) for the relevant period to adjusted EBITDA and adjusted profit/(loss), for the years ended December 31, 2020, 2021 and 2022.</w:t>
      </w:r>
    </w:p>
    <w:p>
      <w:pPr>
        <w:pStyle w:val="TextBody"/>
        <w:spacing w:before="0" w:after="0"/>
        <w:ind w:left="0" w:right="0" w:hanging="0"/>
        <w:rPr>
          <w:caps w:val="false"/>
          <w:smallCaps w:val="false"/>
        </w:rPr>
      </w:pPr>
      <w:r>
        <w:rPr>
          <w:caps w:val="false"/>
          <w:smallCaps w:val="false"/>
        </w:rPr>
        <w:t> </w:t>
      </w:r>
    </w:p>
    <w:tbl>
      <w:tblPr>
        <w:tblW w:w="5531" w:type="dxa"/>
        <w:jc w:val="left"/>
        <w:tblInd w:w="0" w:type="dxa"/>
        <w:tblCellMar>
          <w:top w:w="0" w:type="dxa"/>
          <w:left w:w="0" w:type="dxa"/>
          <w:bottom w:w="0" w:type="dxa"/>
          <w:right w:w="0" w:type="dxa"/>
        </w:tblCellMar>
      </w:tblPr>
      <w:tblGrid>
        <w:gridCol w:w="2540"/>
        <w:gridCol w:w="60"/>
        <w:gridCol w:w="68"/>
        <w:gridCol w:w="789"/>
        <w:gridCol w:w="90"/>
        <w:gridCol w:w="68"/>
        <w:gridCol w:w="68"/>
        <w:gridCol w:w="789"/>
        <w:gridCol w:w="90"/>
        <w:gridCol w:w="68"/>
        <w:gridCol w:w="68"/>
        <w:gridCol w:w="738"/>
        <w:gridCol w:w="95"/>
      </w:tblGrid>
      <w:tr>
        <w:trPr/>
        <w:tc>
          <w:tcPr>
            <w:tcW w:w="25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36" w:type="dxa"/>
            <w:gridSpan w:val="10"/>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5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57"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90" w:type="dxa"/>
            <w:tcBorders/>
            <w:shd w:fill="auto" w:val="clear"/>
            <w:vAlign w:val="center"/>
          </w:tcPr>
          <w:p>
            <w:pPr>
              <w:pStyle w:val="TableContents"/>
              <w:spacing w:before="0" w:after="283"/>
              <w:rPr>
                <w:caps w:val="false"/>
                <w:smallCaps w:val="false"/>
              </w:rPr>
            </w:pPr>
            <w:r>
              <w:rPr>
                <w:caps w:val="false"/>
                <w:smallCaps w:val="false"/>
              </w:rPr>
              <w:t> </w:t>
            </w:r>
          </w:p>
        </w:tc>
        <w:tc>
          <w:tcPr>
            <w:tcW w:w="68" w:type="dxa"/>
            <w:tcBorders/>
            <w:shd w:fill="auto" w:val="clear"/>
            <w:vAlign w:val="center"/>
          </w:tcPr>
          <w:p>
            <w:pPr>
              <w:pStyle w:val="TableContents"/>
              <w:spacing w:before="0" w:after="283"/>
              <w:rPr>
                <w:caps w:val="false"/>
                <w:smallCaps w:val="false"/>
              </w:rPr>
            </w:pPr>
            <w:r>
              <w:rPr>
                <w:caps w:val="false"/>
                <w:smallCaps w:val="false"/>
              </w:rPr>
              <w:t> </w:t>
            </w:r>
          </w:p>
        </w:tc>
        <w:tc>
          <w:tcPr>
            <w:tcW w:w="857"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90" w:type="dxa"/>
            <w:tcBorders/>
            <w:shd w:fill="auto" w:val="clear"/>
            <w:vAlign w:val="center"/>
          </w:tcPr>
          <w:p>
            <w:pPr>
              <w:pStyle w:val="TableContents"/>
              <w:spacing w:before="0" w:after="283"/>
              <w:rPr>
                <w:caps w:val="false"/>
                <w:smallCaps w:val="false"/>
              </w:rPr>
            </w:pPr>
            <w:r>
              <w:rPr>
                <w:caps w:val="false"/>
                <w:smallCaps w:val="false"/>
              </w:rPr>
              <w:t> </w:t>
            </w:r>
          </w:p>
        </w:tc>
        <w:tc>
          <w:tcPr>
            <w:tcW w:w="68" w:type="dxa"/>
            <w:tcBorders/>
            <w:shd w:fill="auto" w:val="clear"/>
            <w:vAlign w:val="center"/>
          </w:tcPr>
          <w:p>
            <w:pPr>
              <w:pStyle w:val="TableContents"/>
              <w:spacing w:before="0" w:after="283"/>
              <w:rPr>
                <w:caps w:val="false"/>
                <w:smallCaps w:val="false"/>
              </w:rPr>
            </w:pPr>
            <w:r>
              <w:rPr>
                <w:caps w:val="false"/>
                <w:smallCaps w:val="false"/>
              </w:rPr>
              <w:t> </w:t>
            </w:r>
          </w:p>
        </w:tc>
        <w:tc>
          <w:tcPr>
            <w:tcW w:w="806"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5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57"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0" w:type="dxa"/>
            <w:tcBorders/>
            <w:shd w:fill="auto" w:val="clear"/>
            <w:vAlign w:val="center"/>
          </w:tcPr>
          <w:p>
            <w:pPr>
              <w:pStyle w:val="TableContents"/>
              <w:spacing w:before="0" w:after="283"/>
              <w:rPr>
                <w:caps w:val="false"/>
                <w:smallCaps w:val="false"/>
              </w:rPr>
            </w:pPr>
            <w:r>
              <w:rPr>
                <w:caps w:val="false"/>
                <w:smallCaps w:val="false"/>
              </w:rPr>
              <w:t> </w:t>
            </w:r>
          </w:p>
        </w:tc>
        <w:tc>
          <w:tcPr>
            <w:tcW w:w="68" w:type="dxa"/>
            <w:tcBorders/>
            <w:shd w:fill="auto" w:val="clear"/>
            <w:vAlign w:val="center"/>
          </w:tcPr>
          <w:p>
            <w:pPr>
              <w:pStyle w:val="TableContents"/>
              <w:spacing w:before="0" w:after="283"/>
              <w:rPr>
                <w:caps w:val="false"/>
                <w:smallCaps w:val="false"/>
              </w:rPr>
            </w:pPr>
            <w:r>
              <w:rPr>
                <w:caps w:val="false"/>
                <w:smallCaps w:val="false"/>
              </w:rPr>
              <w:t> </w:t>
            </w:r>
          </w:p>
        </w:tc>
        <w:tc>
          <w:tcPr>
            <w:tcW w:w="857"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0" w:type="dxa"/>
            <w:tcBorders/>
            <w:shd w:fill="auto" w:val="clear"/>
            <w:vAlign w:val="center"/>
          </w:tcPr>
          <w:p>
            <w:pPr>
              <w:pStyle w:val="TableContents"/>
              <w:spacing w:before="0" w:after="283"/>
              <w:rPr>
                <w:caps w:val="false"/>
                <w:smallCaps w:val="false"/>
              </w:rPr>
            </w:pPr>
            <w:r>
              <w:rPr>
                <w:caps w:val="false"/>
                <w:smallCaps w:val="false"/>
              </w:rPr>
              <w:t> </w:t>
            </w:r>
          </w:p>
        </w:tc>
        <w:tc>
          <w:tcPr>
            <w:tcW w:w="68" w:type="dxa"/>
            <w:tcBorders/>
            <w:shd w:fill="auto" w:val="clear"/>
            <w:vAlign w:val="center"/>
          </w:tcPr>
          <w:p>
            <w:pPr>
              <w:pStyle w:val="TableContents"/>
              <w:spacing w:before="0" w:after="283"/>
              <w:rPr>
                <w:caps w:val="false"/>
                <w:smallCaps w:val="false"/>
              </w:rPr>
            </w:pPr>
            <w:r>
              <w:rPr>
                <w:caps w:val="false"/>
                <w:smallCaps w:val="false"/>
              </w:rPr>
              <w:t> </w:t>
            </w:r>
          </w:p>
        </w:tc>
        <w:tc>
          <w:tcPr>
            <w:tcW w:w="806"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5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57" w:type="dxa"/>
            <w:gridSpan w:val="2"/>
            <w:tcBorders/>
            <w:shd w:fill="auto" w:val="clear"/>
            <w:vAlign w:val="center"/>
          </w:tcPr>
          <w:p>
            <w:pPr>
              <w:pStyle w:val="TableContents"/>
              <w:spacing w:before="0" w:after="283"/>
              <w:jc w:val="center"/>
              <w:rPr>
                <w:caps w:val="false"/>
                <w:smallCaps w:val="false"/>
              </w:rPr>
            </w:pPr>
            <w:r>
              <w:rPr>
                <w:caps w:val="false"/>
                <w:smallCaps w:val="false"/>
              </w:rPr>
              <w:t> </w:t>
            </w:r>
          </w:p>
        </w:tc>
        <w:tc>
          <w:tcPr>
            <w:tcW w:w="90" w:type="dxa"/>
            <w:tcBorders/>
            <w:shd w:fill="auto" w:val="clear"/>
            <w:vAlign w:val="center"/>
          </w:tcPr>
          <w:p>
            <w:pPr>
              <w:pStyle w:val="TableContents"/>
              <w:spacing w:before="0" w:after="283"/>
              <w:rPr>
                <w:caps w:val="false"/>
                <w:smallCaps w:val="false"/>
              </w:rPr>
            </w:pPr>
            <w:r>
              <w:rPr>
                <w:caps w:val="false"/>
                <w:smallCaps w:val="false"/>
              </w:rPr>
              <w:t> </w:t>
            </w:r>
          </w:p>
        </w:tc>
        <w:tc>
          <w:tcPr>
            <w:tcW w:w="68" w:type="dxa"/>
            <w:tcBorders/>
            <w:shd w:fill="auto" w:val="clear"/>
            <w:vAlign w:val="center"/>
          </w:tcPr>
          <w:p>
            <w:pPr>
              <w:pStyle w:val="TableContents"/>
              <w:spacing w:before="0" w:after="283"/>
              <w:rPr>
                <w:caps w:val="false"/>
                <w:smallCaps w:val="false"/>
              </w:rPr>
            </w:pPr>
            <w:r>
              <w:rPr>
                <w:caps w:val="false"/>
                <w:smallCaps w:val="false"/>
              </w:rPr>
              <w:t> </w:t>
            </w:r>
          </w:p>
        </w:tc>
        <w:tc>
          <w:tcPr>
            <w:tcW w:w="857" w:type="dxa"/>
            <w:gridSpan w:val="2"/>
            <w:tcBorders/>
            <w:shd w:fill="auto" w:val="clear"/>
            <w:vAlign w:val="center"/>
          </w:tcPr>
          <w:p>
            <w:pPr>
              <w:pStyle w:val="TableContents"/>
              <w:spacing w:before="0" w:after="283"/>
              <w:jc w:val="center"/>
              <w:rPr>
                <w:caps w:val="false"/>
                <w:smallCaps w:val="false"/>
              </w:rPr>
            </w:pPr>
            <w:r>
              <w:rPr>
                <w:caps w:val="false"/>
                <w:smallCaps w:val="false"/>
              </w:rPr>
              <w:t> </w:t>
            </w:r>
          </w:p>
        </w:tc>
        <w:tc>
          <w:tcPr>
            <w:tcW w:w="90" w:type="dxa"/>
            <w:tcBorders/>
            <w:shd w:fill="auto" w:val="clear"/>
            <w:vAlign w:val="center"/>
          </w:tcPr>
          <w:p>
            <w:pPr>
              <w:pStyle w:val="TableContents"/>
              <w:spacing w:before="0" w:after="283"/>
              <w:rPr>
                <w:caps w:val="false"/>
                <w:smallCaps w:val="false"/>
              </w:rPr>
            </w:pPr>
            <w:r>
              <w:rPr>
                <w:caps w:val="false"/>
                <w:smallCaps w:val="false"/>
              </w:rPr>
              <w:t> </w:t>
            </w:r>
          </w:p>
        </w:tc>
        <w:tc>
          <w:tcPr>
            <w:tcW w:w="68" w:type="dxa"/>
            <w:tcBorders/>
            <w:shd w:fill="auto" w:val="clear"/>
            <w:vAlign w:val="center"/>
          </w:tcPr>
          <w:p>
            <w:pPr>
              <w:pStyle w:val="TableContents"/>
              <w:spacing w:before="0" w:after="283"/>
              <w:rPr>
                <w:caps w:val="false"/>
                <w:smallCaps w:val="false"/>
              </w:rPr>
            </w:pPr>
            <w:r>
              <w:rPr>
                <w:caps w:val="false"/>
                <w:smallCaps w:val="false"/>
              </w:rPr>
              <w:t> </w:t>
            </w:r>
          </w:p>
        </w:tc>
        <w:tc>
          <w:tcPr>
            <w:tcW w:w="806" w:type="dxa"/>
            <w:gridSpan w:val="2"/>
            <w:tcBorders/>
            <w:shd w:fill="auto" w:val="clear"/>
            <w:vAlign w:val="center"/>
          </w:tcPr>
          <w:p>
            <w:pPr>
              <w:pStyle w:val="TableContents"/>
              <w:spacing w:before="0" w:after="283"/>
              <w:jc w:val="center"/>
              <w:rPr>
                <w:caps w:val="false"/>
                <w:smallCaps w:val="false"/>
              </w:rPr>
            </w:pPr>
            <w:r>
              <w:rPr>
                <w:caps w:val="false"/>
                <w:smallCaps w:val="false"/>
              </w:rPr>
              <w:t> </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5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36" w:type="dxa"/>
            <w:gridSpan w:val="10"/>
            <w:tcBorders/>
            <w:shd w:fill="auto" w:val="clear"/>
            <w:vAlign w:val="center"/>
          </w:tcPr>
          <w:p>
            <w:pPr>
              <w:pStyle w:val="TableContents"/>
              <w:spacing w:before="0" w:after="283"/>
              <w:jc w:val="center"/>
              <w:rPr>
                <w:b/>
                <w:i/>
                <w:sz w:val="20"/>
              </w:rPr>
            </w:pPr>
            <w:r>
              <w:rPr>
                <w:b/>
                <w:i/>
                <w:sz w:val="20"/>
              </w:rPr>
              <w:t>(in thousands)</w:t>
            </w:r>
          </w:p>
        </w:tc>
        <w:tc>
          <w:tcPr>
            <w:tcW w:w="95" w:type="dxa"/>
            <w:tcBorders/>
            <w:shd w:fill="auto" w:val="clear"/>
            <w:vAlign w:val="center"/>
          </w:tcPr>
          <w:p>
            <w:pPr>
              <w:pStyle w:val="TableContents"/>
              <w:spacing w:before="0" w:after="283"/>
              <w:rPr/>
            </w:pPr>
            <w:r>
              <w:rPr/>
              <w:t> </w:t>
            </w:r>
          </w:p>
        </w:tc>
      </w:tr>
      <w:tr>
        <w:trPr/>
        <w:tc>
          <w:tcPr>
            <w:tcW w:w="2540" w:type="dxa"/>
            <w:tcBorders/>
            <w:shd w:fill="CCEEFF" w:val="clear"/>
            <w:vAlign w:val="center"/>
          </w:tcPr>
          <w:p>
            <w:pPr>
              <w:pStyle w:val="TableContents"/>
              <w:spacing w:before="0" w:after="283"/>
              <w:jc w:val="left"/>
              <w:rPr>
                <w:b/>
                <w:sz w:val="20"/>
              </w:rPr>
            </w:pPr>
            <w:r>
              <w:rPr>
                <w:b/>
                <w:sz w:val="20"/>
              </w:rPr>
              <w:t>Adjusted EBITDA</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89" w:type="dxa"/>
            <w:tcBorders/>
            <w:shd w:fill="CCEEFF" w:val="clear"/>
            <w:vAlign w:val="center"/>
          </w:tcPr>
          <w:p>
            <w:pPr>
              <w:pStyle w:val="TableContents"/>
              <w:spacing w:before="0" w:after="283"/>
              <w:jc w:val="right"/>
              <w:rPr/>
            </w:pPr>
            <w:r>
              <w:rPr/>
              <w:t> </w:t>
            </w:r>
          </w:p>
        </w:tc>
        <w:tc>
          <w:tcPr>
            <w:tcW w:w="90"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89" w:type="dxa"/>
            <w:tcBorders/>
            <w:shd w:fill="CCEEFF" w:val="clear"/>
            <w:vAlign w:val="center"/>
          </w:tcPr>
          <w:p>
            <w:pPr>
              <w:pStyle w:val="TableContents"/>
              <w:spacing w:before="0" w:after="283"/>
              <w:jc w:val="right"/>
              <w:rPr/>
            </w:pPr>
            <w:r>
              <w:rPr/>
              <w:t> </w:t>
            </w:r>
          </w:p>
        </w:tc>
        <w:tc>
          <w:tcPr>
            <w:tcW w:w="90"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38"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2540" w:type="dxa"/>
            <w:tcBorders/>
            <w:shd w:fill="FFFFFF" w:val="clear"/>
            <w:vAlign w:val="center"/>
          </w:tcPr>
          <w:p>
            <w:pPr>
              <w:pStyle w:val="TableContents"/>
              <w:spacing w:before="0" w:after="283"/>
              <w:jc w:val="left"/>
              <w:rPr>
                <w:sz w:val="20"/>
              </w:rPr>
            </w:pPr>
            <w:r>
              <w:rPr>
                <w:sz w:val="20"/>
              </w:rPr>
              <w:t>Profit/(loss) for the year</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789" w:type="dxa"/>
            <w:tcBorders/>
            <w:shd w:fill="FFFFFF" w:val="clear"/>
            <w:vAlign w:val="center"/>
          </w:tcPr>
          <w:p>
            <w:pPr>
              <w:pStyle w:val="TableContents"/>
              <w:spacing w:before="0" w:after="283"/>
              <w:jc w:val="right"/>
              <w:rPr>
                <w:sz w:val="20"/>
              </w:rPr>
            </w:pPr>
            <w:r>
              <w:rPr>
                <w:sz w:val="20"/>
              </w:rPr>
              <w:t>(55,826</w:t>
            </w:r>
          </w:p>
        </w:tc>
        <w:tc>
          <w:tcPr>
            <w:tcW w:w="90" w:type="dxa"/>
            <w:tcBorders/>
            <w:shd w:fill="FFFFFF" w:val="clear"/>
            <w:vAlign w:val="center"/>
          </w:tcPr>
          <w:p>
            <w:pPr>
              <w:pStyle w:val="TableContents"/>
              <w:spacing w:before="0" w:after="283"/>
              <w:jc w:val="left"/>
              <w:rPr>
                <w:sz w:val="20"/>
              </w:rPr>
            </w:pPr>
            <w:r>
              <w:rPr>
                <w:sz w:val="20"/>
              </w:rPr>
              <w:t>)</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789" w:type="dxa"/>
            <w:tcBorders/>
            <w:shd w:fill="FFFFFF" w:val="clear"/>
            <w:vAlign w:val="center"/>
          </w:tcPr>
          <w:p>
            <w:pPr>
              <w:pStyle w:val="TableContents"/>
              <w:spacing w:before="0" w:after="283"/>
              <w:jc w:val="right"/>
              <w:rPr>
                <w:sz w:val="20"/>
              </w:rPr>
            </w:pPr>
            <w:r>
              <w:rPr>
                <w:sz w:val="20"/>
              </w:rPr>
              <w:t>82,643</w:t>
            </w:r>
          </w:p>
        </w:tc>
        <w:tc>
          <w:tcPr>
            <w:tcW w:w="90"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738" w:type="dxa"/>
            <w:tcBorders/>
            <w:shd w:fill="FFFFFF" w:val="clear"/>
            <w:vAlign w:val="center"/>
          </w:tcPr>
          <w:p>
            <w:pPr>
              <w:pStyle w:val="TableContents"/>
              <w:spacing w:before="0" w:after="283"/>
              <w:jc w:val="right"/>
              <w:rPr>
                <w:sz w:val="20"/>
              </w:rPr>
            </w:pPr>
            <w:r>
              <w:rPr>
                <w:sz w:val="20"/>
              </w:rPr>
              <w:t>(60,366</w:t>
            </w:r>
          </w:p>
        </w:tc>
        <w:tc>
          <w:tcPr>
            <w:tcW w:w="95" w:type="dxa"/>
            <w:tcBorders/>
            <w:shd w:fill="FFFFFF" w:val="clear"/>
            <w:vAlign w:val="center"/>
          </w:tcPr>
          <w:p>
            <w:pPr>
              <w:pStyle w:val="TableContents"/>
              <w:spacing w:before="0" w:after="283"/>
              <w:jc w:val="left"/>
              <w:rPr>
                <w:sz w:val="20"/>
              </w:rPr>
            </w:pPr>
            <w:r>
              <w:rPr>
                <w:sz w:val="20"/>
              </w:rPr>
              <w:t>)</w:t>
            </w:r>
          </w:p>
        </w:tc>
      </w:tr>
      <w:tr>
        <w:trPr/>
        <w:tc>
          <w:tcPr>
            <w:tcW w:w="2540" w:type="dxa"/>
            <w:tcBorders/>
            <w:shd w:fill="CCEEFF" w:val="clear"/>
            <w:vAlign w:val="center"/>
          </w:tcPr>
          <w:p>
            <w:pPr>
              <w:pStyle w:val="TableContents"/>
              <w:spacing w:before="0" w:after="283"/>
              <w:rPr>
                <w:i/>
                <w:sz w:val="20"/>
              </w:rPr>
            </w:pPr>
            <w:r>
              <w:rPr>
                <w:i/>
                <w:sz w:val="20"/>
              </w:rPr>
              <w:t>Add:</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89" w:type="dxa"/>
            <w:tcBorders/>
            <w:shd w:fill="CCEEFF" w:val="clear"/>
            <w:vAlign w:val="center"/>
          </w:tcPr>
          <w:p>
            <w:pPr>
              <w:pStyle w:val="TableContents"/>
              <w:spacing w:before="0" w:after="283"/>
              <w:jc w:val="right"/>
              <w:rPr/>
            </w:pPr>
            <w:r>
              <w:rPr/>
              <w:t> </w:t>
            </w:r>
          </w:p>
        </w:tc>
        <w:tc>
          <w:tcPr>
            <w:tcW w:w="90"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89" w:type="dxa"/>
            <w:tcBorders/>
            <w:shd w:fill="CCEEFF" w:val="clear"/>
            <w:vAlign w:val="center"/>
          </w:tcPr>
          <w:p>
            <w:pPr>
              <w:pStyle w:val="TableContents"/>
              <w:spacing w:before="0" w:after="283"/>
              <w:jc w:val="right"/>
              <w:rPr/>
            </w:pPr>
            <w:r>
              <w:rPr/>
              <w:t> </w:t>
            </w:r>
          </w:p>
        </w:tc>
        <w:tc>
          <w:tcPr>
            <w:tcW w:w="90"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38"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2540" w:type="dxa"/>
            <w:tcBorders/>
            <w:shd w:fill="FFFFFF" w:val="clear"/>
            <w:vAlign w:val="center"/>
          </w:tcPr>
          <w:p>
            <w:pPr>
              <w:pStyle w:val="TableContents"/>
              <w:spacing w:before="0" w:after="283"/>
              <w:jc w:val="left"/>
              <w:rPr>
                <w:sz w:val="20"/>
              </w:rPr>
            </w:pPr>
            <w:r>
              <w:rPr>
                <w:sz w:val="20"/>
              </w:rPr>
              <w:t>Depreciation and amortization</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789" w:type="dxa"/>
            <w:tcBorders/>
            <w:shd w:fill="FFFFFF" w:val="clear"/>
            <w:vAlign w:val="center"/>
          </w:tcPr>
          <w:p>
            <w:pPr>
              <w:pStyle w:val="TableContents"/>
              <w:spacing w:before="0" w:after="283"/>
              <w:jc w:val="right"/>
              <w:rPr>
                <w:sz w:val="20"/>
              </w:rPr>
            </w:pPr>
            <w:r>
              <w:rPr>
                <w:sz w:val="20"/>
              </w:rPr>
              <w:t>112,037</w:t>
            </w:r>
          </w:p>
        </w:tc>
        <w:tc>
          <w:tcPr>
            <w:tcW w:w="90"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789" w:type="dxa"/>
            <w:tcBorders/>
            <w:shd w:fill="FFFFFF" w:val="clear"/>
            <w:vAlign w:val="center"/>
          </w:tcPr>
          <w:p>
            <w:pPr>
              <w:pStyle w:val="TableContents"/>
              <w:spacing w:before="0" w:after="283"/>
              <w:jc w:val="right"/>
              <w:rPr>
                <w:sz w:val="20"/>
              </w:rPr>
            </w:pPr>
            <w:r>
              <w:rPr>
                <w:sz w:val="20"/>
              </w:rPr>
              <w:t>63,055</w:t>
            </w:r>
          </w:p>
        </w:tc>
        <w:tc>
          <w:tcPr>
            <w:tcW w:w="90"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738" w:type="dxa"/>
            <w:tcBorders/>
            <w:shd w:fill="FFFFFF" w:val="clear"/>
            <w:vAlign w:val="center"/>
          </w:tcPr>
          <w:p>
            <w:pPr>
              <w:pStyle w:val="TableContents"/>
              <w:spacing w:before="0" w:after="283"/>
              <w:jc w:val="right"/>
              <w:rPr>
                <w:sz w:val="20"/>
              </w:rPr>
            </w:pPr>
            <w:r>
              <w:rPr>
                <w:sz w:val="20"/>
              </w:rPr>
              <w:t>66,424</w:t>
            </w:r>
          </w:p>
        </w:tc>
        <w:tc>
          <w:tcPr>
            <w:tcW w:w="95" w:type="dxa"/>
            <w:tcBorders/>
            <w:shd w:fill="FFFFFF" w:val="clear"/>
            <w:vAlign w:val="center"/>
          </w:tcPr>
          <w:p>
            <w:pPr>
              <w:pStyle w:val="TableContents"/>
              <w:spacing w:before="0" w:after="283"/>
              <w:jc w:val="left"/>
              <w:rPr/>
            </w:pPr>
            <w:r>
              <w:rPr/>
              <w:t> </w:t>
            </w:r>
          </w:p>
        </w:tc>
      </w:tr>
      <w:tr>
        <w:trPr/>
        <w:tc>
          <w:tcPr>
            <w:tcW w:w="2540" w:type="dxa"/>
            <w:tcBorders/>
            <w:shd w:fill="CCEEFF" w:val="clear"/>
            <w:vAlign w:val="center"/>
          </w:tcPr>
          <w:p>
            <w:pPr>
              <w:pStyle w:val="TableContents"/>
              <w:spacing w:before="0" w:after="283"/>
              <w:jc w:val="left"/>
              <w:rPr>
                <w:sz w:val="20"/>
              </w:rPr>
            </w:pPr>
            <w:r>
              <w:rPr>
                <w:sz w:val="20"/>
              </w:rPr>
              <w:t>Income tax expenses/(benefit)</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89" w:type="dxa"/>
            <w:tcBorders/>
            <w:shd w:fill="CCEEFF" w:val="clear"/>
            <w:vAlign w:val="center"/>
          </w:tcPr>
          <w:p>
            <w:pPr>
              <w:pStyle w:val="TableContents"/>
              <w:spacing w:before="0" w:after="283"/>
              <w:jc w:val="right"/>
              <w:rPr>
                <w:sz w:val="20"/>
              </w:rPr>
            </w:pPr>
            <w:r>
              <w:rPr>
                <w:sz w:val="20"/>
              </w:rPr>
              <w:t>(7,961</w:t>
            </w:r>
          </w:p>
        </w:tc>
        <w:tc>
          <w:tcPr>
            <w:tcW w:w="90" w:type="dxa"/>
            <w:tcBorders/>
            <w:shd w:fill="CCEEFF" w:val="clear"/>
            <w:vAlign w:val="center"/>
          </w:tcPr>
          <w:p>
            <w:pPr>
              <w:pStyle w:val="TableContents"/>
              <w:spacing w:before="0" w:after="283"/>
              <w:jc w:val="left"/>
              <w:rPr>
                <w:sz w:val="20"/>
              </w:rPr>
            </w:pPr>
            <w:r>
              <w:rPr>
                <w:sz w:val="20"/>
              </w:rPr>
              <w:t>)</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89" w:type="dxa"/>
            <w:tcBorders/>
            <w:shd w:fill="CCEEFF" w:val="clear"/>
            <w:vAlign w:val="center"/>
          </w:tcPr>
          <w:p>
            <w:pPr>
              <w:pStyle w:val="TableContents"/>
              <w:spacing w:before="0" w:after="283"/>
              <w:jc w:val="right"/>
              <w:rPr>
                <w:sz w:val="20"/>
              </w:rPr>
            </w:pPr>
            <w:r>
              <w:rPr>
                <w:sz w:val="20"/>
              </w:rPr>
              <w:t>48,246</w:t>
            </w:r>
          </w:p>
        </w:tc>
        <w:tc>
          <w:tcPr>
            <w:tcW w:w="90"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38" w:type="dxa"/>
            <w:tcBorders/>
            <w:shd w:fill="CCEEFF" w:val="clear"/>
            <w:vAlign w:val="center"/>
          </w:tcPr>
          <w:p>
            <w:pPr>
              <w:pStyle w:val="TableContents"/>
              <w:spacing w:before="0" w:after="283"/>
              <w:jc w:val="right"/>
              <w:rPr>
                <w:sz w:val="20"/>
              </w:rPr>
            </w:pPr>
            <w:r>
              <w:rPr>
                <w:sz w:val="20"/>
              </w:rPr>
              <w:t>(4,400</w:t>
            </w:r>
          </w:p>
        </w:tc>
        <w:tc>
          <w:tcPr>
            <w:tcW w:w="95" w:type="dxa"/>
            <w:tcBorders/>
            <w:shd w:fill="CCEEFF" w:val="clear"/>
            <w:vAlign w:val="center"/>
          </w:tcPr>
          <w:p>
            <w:pPr>
              <w:pStyle w:val="TableContents"/>
              <w:spacing w:before="0" w:after="283"/>
              <w:jc w:val="left"/>
              <w:rPr>
                <w:sz w:val="20"/>
              </w:rPr>
            </w:pPr>
            <w:r>
              <w:rPr>
                <w:sz w:val="20"/>
              </w:rPr>
              <w:t>)</w:t>
            </w:r>
          </w:p>
        </w:tc>
      </w:tr>
      <w:tr>
        <w:trPr/>
        <w:tc>
          <w:tcPr>
            <w:tcW w:w="2540" w:type="dxa"/>
            <w:tcBorders/>
            <w:shd w:fill="FFFFFF" w:val="clear"/>
            <w:vAlign w:val="center"/>
          </w:tcPr>
          <w:p>
            <w:pPr>
              <w:pStyle w:val="TableContents"/>
              <w:spacing w:before="0" w:after="283"/>
              <w:jc w:val="left"/>
              <w:rPr>
                <w:sz w:val="20"/>
              </w:rPr>
            </w:pPr>
            <w:r>
              <w:rPr>
                <w:sz w:val="20"/>
              </w:rPr>
              <w:t>Interest expense/(income), net</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789" w:type="dxa"/>
            <w:tcBorders/>
            <w:shd w:fill="FFFFFF" w:val="clear"/>
            <w:vAlign w:val="center"/>
          </w:tcPr>
          <w:p>
            <w:pPr>
              <w:pStyle w:val="TableContents"/>
              <w:spacing w:before="0" w:after="283"/>
              <w:jc w:val="right"/>
              <w:rPr>
                <w:sz w:val="20"/>
              </w:rPr>
            </w:pPr>
            <w:r>
              <w:rPr>
                <w:sz w:val="20"/>
              </w:rPr>
              <w:t>404</w:t>
            </w:r>
          </w:p>
        </w:tc>
        <w:tc>
          <w:tcPr>
            <w:tcW w:w="90"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789" w:type="dxa"/>
            <w:tcBorders/>
            <w:shd w:fill="FFFFFF" w:val="clear"/>
            <w:vAlign w:val="center"/>
          </w:tcPr>
          <w:p>
            <w:pPr>
              <w:pStyle w:val="TableContents"/>
              <w:spacing w:before="0" w:after="283"/>
              <w:jc w:val="right"/>
              <w:rPr>
                <w:sz w:val="20"/>
              </w:rPr>
            </w:pPr>
            <w:r>
              <w:rPr>
                <w:sz w:val="20"/>
              </w:rPr>
              <w:t>(504</w:t>
            </w:r>
          </w:p>
        </w:tc>
        <w:tc>
          <w:tcPr>
            <w:tcW w:w="90" w:type="dxa"/>
            <w:tcBorders/>
            <w:shd w:fill="FFFFFF" w:val="clear"/>
            <w:vAlign w:val="center"/>
          </w:tcPr>
          <w:p>
            <w:pPr>
              <w:pStyle w:val="TableContents"/>
              <w:spacing w:before="0" w:after="283"/>
              <w:jc w:val="left"/>
              <w:rPr>
                <w:sz w:val="20"/>
              </w:rPr>
            </w:pPr>
            <w:r>
              <w:rPr>
                <w:sz w:val="20"/>
              </w:rPr>
              <w:t>)</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738" w:type="dxa"/>
            <w:tcBorders/>
            <w:shd w:fill="FFFFFF" w:val="clear"/>
            <w:vAlign w:val="center"/>
          </w:tcPr>
          <w:p>
            <w:pPr>
              <w:pStyle w:val="TableContents"/>
              <w:spacing w:before="0" w:after="283"/>
              <w:jc w:val="right"/>
              <w:rPr>
                <w:sz w:val="20"/>
              </w:rPr>
            </w:pPr>
            <w:r>
              <w:rPr>
                <w:sz w:val="20"/>
              </w:rPr>
              <w:t>912</w:t>
            </w:r>
          </w:p>
        </w:tc>
        <w:tc>
          <w:tcPr>
            <w:tcW w:w="95" w:type="dxa"/>
            <w:tcBorders/>
            <w:shd w:fill="FFFFFF" w:val="clear"/>
            <w:vAlign w:val="center"/>
          </w:tcPr>
          <w:p>
            <w:pPr>
              <w:pStyle w:val="TableContents"/>
              <w:spacing w:before="0" w:after="283"/>
              <w:jc w:val="left"/>
              <w:rPr/>
            </w:pPr>
            <w:r>
              <w:rPr/>
              <w:t> </w:t>
            </w:r>
          </w:p>
        </w:tc>
      </w:tr>
      <w:tr>
        <w:trPr/>
        <w:tc>
          <w:tcPr>
            <w:tcW w:w="2540" w:type="dxa"/>
            <w:tcBorders/>
            <w:shd w:fill="CCEEFF" w:val="clear"/>
            <w:vAlign w:val="center"/>
          </w:tcPr>
          <w:p>
            <w:pPr>
              <w:pStyle w:val="TableContents"/>
              <w:spacing w:before="0" w:after="283"/>
              <w:jc w:val="left"/>
              <w:rPr>
                <w:sz w:val="20"/>
              </w:rPr>
            </w:pPr>
            <w:r>
              <w:rPr>
                <w:sz w:val="20"/>
              </w:rPr>
              <w:t>Share-based payment expenses</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89"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89" w:type="dxa"/>
            <w:tcBorders/>
            <w:shd w:fill="CCEEFF" w:val="clear"/>
            <w:vAlign w:val="center"/>
          </w:tcPr>
          <w:p>
            <w:pPr>
              <w:pStyle w:val="TableContents"/>
              <w:spacing w:before="0" w:after="283"/>
              <w:jc w:val="right"/>
              <w:rPr>
                <w:sz w:val="20"/>
              </w:rPr>
            </w:pPr>
            <w:r>
              <w:rPr>
                <w:sz w:val="20"/>
              </w:rPr>
              <w:t>88,355</w:t>
            </w:r>
          </w:p>
        </w:tc>
        <w:tc>
          <w:tcPr>
            <w:tcW w:w="90"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38" w:type="dxa"/>
            <w:tcBorders/>
            <w:shd w:fill="CCEEFF" w:val="clear"/>
            <w:vAlign w:val="center"/>
          </w:tcPr>
          <w:p>
            <w:pPr>
              <w:pStyle w:val="TableContents"/>
              <w:spacing w:before="0" w:after="283"/>
              <w:jc w:val="right"/>
              <w:rPr>
                <w:sz w:val="20"/>
              </w:rPr>
            </w:pPr>
            <w:r>
              <w:rPr>
                <w:sz w:val="20"/>
              </w:rPr>
              <w:t>90,648</w:t>
            </w:r>
          </w:p>
        </w:tc>
        <w:tc>
          <w:tcPr>
            <w:tcW w:w="95" w:type="dxa"/>
            <w:tcBorders/>
            <w:shd w:fill="CCEEFF" w:val="clear"/>
            <w:vAlign w:val="center"/>
          </w:tcPr>
          <w:p>
            <w:pPr>
              <w:pStyle w:val="TableContents"/>
              <w:spacing w:before="0" w:after="283"/>
              <w:jc w:val="left"/>
              <w:rPr/>
            </w:pPr>
            <w:r>
              <w:rPr/>
              <w:t> </w:t>
            </w:r>
          </w:p>
        </w:tc>
      </w:tr>
      <w:tr>
        <w:trPr/>
        <w:tc>
          <w:tcPr>
            <w:tcW w:w="2540" w:type="dxa"/>
            <w:tcBorders/>
            <w:shd w:fill="FFFFFF" w:val="clear"/>
            <w:vAlign w:val="center"/>
          </w:tcPr>
          <w:p>
            <w:pPr>
              <w:pStyle w:val="TableContents"/>
              <w:spacing w:before="0" w:after="283"/>
              <w:jc w:val="left"/>
              <w:rPr>
                <w:sz w:val="20"/>
              </w:rPr>
            </w:pPr>
            <w:r>
              <w:rPr>
                <w:sz w:val="20"/>
              </w:rPr>
              <w:t>Adjusted EBITDA</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9"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48,654</w:t>
            </w:r>
          </w:p>
        </w:tc>
        <w:tc>
          <w:tcPr>
            <w:tcW w:w="9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9"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281,795</w:t>
            </w:r>
          </w:p>
        </w:tc>
        <w:tc>
          <w:tcPr>
            <w:tcW w:w="9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3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93,218</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54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89" w:type="dxa"/>
            <w:tcBorders/>
            <w:shd w:fill="CCEEFF" w:val="clear"/>
            <w:vAlign w:val="center"/>
          </w:tcPr>
          <w:p>
            <w:pPr>
              <w:pStyle w:val="TableContents"/>
              <w:spacing w:before="0" w:after="283"/>
              <w:jc w:val="right"/>
              <w:rPr/>
            </w:pPr>
            <w:r>
              <w:rPr/>
              <w:t> </w:t>
            </w:r>
          </w:p>
        </w:tc>
        <w:tc>
          <w:tcPr>
            <w:tcW w:w="90"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89" w:type="dxa"/>
            <w:tcBorders/>
            <w:shd w:fill="CCEEFF" w:val="clear"/>
            <w:vAlign w:val="center"/>
          </w:tcPr>
          <w:p>
            <w:pPr>
              <w:pStyle w:val="TableContents"/>
              <w:spacing w:before="0" w:after="283"/>
              <w:jc w:val="right"/>
              <w:rPr/>
            </w:pPr>
            <w:r>
              <w:rPr/>
              <w:t> </w:t>
            </w:r>
          </w:p>
        </w:tc>
        <w:tc>
          <w:tcPr>
            <w:tcW w:w="90"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38"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2540" w:type="dxa"/>
            <w:tcBorders/>
            <w:shd w:fill="FFFFFF" w:val="clear"/>
            <w:vAlign w:val="center"/>
          </w:tcPr>
          <w:p>
            <w:pPr>
              <w:pStyle w:val="TableContents"/>
              <w:spacing w:before="0" w:after="283"/>
              <w:jc w:val="left"/>
              <w:rPr>
                <w:b/>
                <w:sz w:val="20"/>
              </w:rPr>
            </w:pPr>
            <w:r>
              <w:rPr>
                <w:b/>
                <w:sz w:val="20"/>
              </w:rPr>
              <w:t>Adjusted Profit/(Loss)</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789" w:type="dxa"/>
            <w:tcBorders/>
            <w:shd w:fill="FFFFFF" w:val="clear"/>
            <w:vAlign w:val="center"/>
          </w:tcPr>
          <w:p>
            <w:pPr>
              <w:pStyle w:val="TableContents"/>
              <w:spacing w:before="0" w:after="283"/>
              <w:jc w:val="right"/>
              <w:rPr/>
            </w:pPr>
            <w:r>
              <w:rPr/>
              <w:t> </w:t>
            </w:r>
          </w:p>
        </w:tc>
        <w:tc>
          <w:tcPr>
            <w:tcW w:w="90"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789" w:type="dxa"/>
            <w:tcBorders/>
            <w:shd w:fill="FFFFFF" w:val="clear"/>
            <w:vAlign w:val="center"/>
          </w:tcPr>
          <w:p>
            <w:pPr>
              <w:pStyle w:val="TableContents"/>
              <w:spacing w:before="0" w:after="283"/>
              <w:jc w:val="right"/>
              <w:rPr/>
            </w:pPr>
            <w:r>
              <w:rPr/>
              <w:t> </w:t>
            </w:r>
          </w:p>
        </w:tc>
        <w:tc>
          <w:tcPr>
            <w:tcW w:w="90"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738"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2540" w:type="dxa"/>
            <w:tcBorders/>
            <w:shd w:fill="CCEEFF" w:val="clear"/>
            <w:vAlign w:val="center"/>
          </w:tcPr>
          <w:p>
            <w:pPr>
              <w:pStyle w:val="TableContents"/>
              <w:spacing w:before="0" w:after="283"/>
              <w:jc w:val="left"/>
              <w:rPr>
                <w:sz w:val="20"/>
              </w:rPr>
            </w:pPr>
            <w:r>
              <w:rPr>
                <w:sz w:val="20"/>
              </w:rPr>
              <w:t>Profit/(loss) for the year</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89" w:type="dxa"/>
            <w:tcBorders/>
            <w:shd w:fill="CCEEFF" w:val="clear"/>
            <w:vAlign w:val="center"/>
          </w:tcPr>
          <w:p>
            <w:pPr>
              <w:pStyle w:val="TableContents"/>
              <w:spacing w:before="0" w:after="283"/>
              <w:jc w:val="right"/>
              <w:rPr>
                <w:sz w:val="20"/>
              </w:rPr>
            </w:pPr>
            <w:r>
              <w:rPr>
                <w:sz w:val="20"/>
              </w:rPr>
              <w:t>(55,826</w:t>
            </w:r>
          </w:p>
        </w:tc>
        <w:tc>
          <w:tcPr>
            <w:tcW w:w="90" w:type="dxa"/>
            <w:tcBorders/>
            <w:shd w:fill="CCEEFF" w:val="clear"/>
            <w:vAlign w:val="center"/>
          </w:tcPr>
          <w:p>
            <w:pPr>
              <w:pStyle w:val="TableContents"/>
              <w:spacing w:before="0" w:after="283"/>
              <w:jc w:val="left"/>
              <w:rPr>
                <w:sz w:val="20"/>
              </w:rPr>
            </w:pPr>
            <w:r>
              <w:rPr>
                <w:sz w:val="20"/>
              </w:rPr>
              <w:t>)</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89" w:type="dxa"/>
            <w:tcBorders/>
            <w:shd w:fill="CCEEFF" w:val="clear"/>
            <w:vAlign w:val="center"/>
          </w:tcPr>
          <w:p>
            <w:pPr>
              <w:pStyle w:val="TableContents"/>
              <w:spacing w:before="0" w:after="283"/>
              <w:jc w:val="right"/>
              <w:rPr>
                <w:sz w:val="20"/>
              </w:rPr>
            </w:pPr>
            <w:r>
              <w:rPr>
                <w:sz w:val="20"/>
              </w:rPr>
              <w:t>82,643</w:t>
            </w:r>
          </w:p>
        </w:tc>
        <w:tc>
          <w:tcPr>
            <w:tcW w:w="90"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38" w:type="dxa"/>
            <w:tcBorders/>
            <w:shd w:fill="CCEEFF" w:val="clear"/>
            <w:vAlign w:val="center"/>
          </w:tcPr>
          <w:p>
            <w:pPr>
              <w:pStyle w:val="TableContents"/>
              <w:spacing w:before="0" w:after="283"/>
              <w:jc w:val="right"/>
              <w:rPr>
                <w:sz w:val="20"/>
              </w:rPr>
            </w:pPr>
            <w:r>
              <w:rPr>
                <w:sz w:val="20"/>
              </w:rPr>
              <w:t>(60,366</w:t>
            </w:r>
          </w:p>
        </w:tc>
        <w:tc>
          <w:tcPr>
            <w:tcW w:w="95" w:type="dxa"/>
            <w:tcBorders/>
            <w:shd w:fill="CCEEFF" w:val="clear"/>
            <w:vAlign w:val="center"/>
          </w:tcPr>
          <w:p>
            <w:pPr>
              <w:pStyle w:val="TableContents"/>
              <w:spacing w:before="0" w:after="283"/>
              <w:jc w:val="left"/>
              <w:rPr>
                <w:sz w:val="20"/>
              </w:rPr>
            </w:pPr>
            <w:r>
              <w:rPr>
                <w:sz w:val="20"/>
              </w:rPr>
              <w:t>)</w:t>
            </w:r>
          </w:p>
        </w:tc>
      </w:tr>
      <w:tr>
        <w:trPr/>
        <w:tc>
          <w:tcPr>
            <w:tcW w:w="2540" w:type="dxa"/>
            <w:tcBorders/>
            <w:shd w:fill="FFFFFF" w:val="clear"/>
            <w:vAlign w:val="center"/>
          </w:tcPr>
          <w:p>
            <w:pPr>
              <w:pStyle w:val="TableContents"/>
              <w:spacing w:before="0" w:after="283"/>
              <w:rPr>
                <w:i/>
                <w:sz w:val="20"/>
              </w:rPr>
            </w:pPr>
            <w:r>
              <w:rPr>
                <w:i/>
                <w:sz w:val="20"/>
              </w:rPr>
              <w:t>Add:</w:t>
            </w:r>
          </w:p>
        </w:tc>
        <w:tc>
          <w:tcPr>
            <w:tcW w:w="60"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789" w:type="dxa"/>
            <w:tcBorders/>
            <w:shd w:fill="FFFFFF" w:val="clear"/>
            <w:vAlign w:val="center"/>
          </w:tcPr>
          <w:p>
            <w:pPr>
              <w:pStyle w:val="TableContents"/>
              <w:spacing w:before="0" w:after="283"/>
              <w:jc w:val="right"/>
              <w:rPr/>
            </w:pPr>
            <w:r>
              <w:rPr/>
              <w:t> </w:t>
            </w:r>
          </w:p>
        </w:tc>
        <w:tc>
          <w:tcPr>
            <w:tcW w:w="90"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789" w:type="dxa"/>
            <w:tcBorders/>
            <w:shd w:fill="FFFFFF" w:val="clear"/>
            <w:vAlign w:val="center"/>
          </w:tcPr>
          <w:p>
            <w:pPr>
              <w:pStyle w:val="TableContents"/>
              <w:spacing w:before="0" w:after="283"/>
              <w:jc w:val="right"/>
              <w:rPr/>
            </w:pPr>
            <w:r>
              <w:rPr/>
              <w:t> </w:t>
            </w:r>
          </w:p>
        </w:tc>
        <w:tc>
          <w:tcPr>
            <w:tcW w:w="90"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68" w:type="dxa"/>
            <w:tcBorders/>
            <w:shd w:fill="FFFFFF" w:val="clear"/>
            <w:vAlign w:val="center"/>
          </w:tcPr>
          <w:p>
            <w:pPr>
              <w:pStyle w:val="TableContents"/>
              <w:spacing w:before="0" w:after="283"/>
              <w:jc w:val="left"/>
              <w:rPr/>
            </w:pPr>
            <w:r>
              <w:rPr/>
              <w:t> </w:t>
            </w:r>
          </w:p>
        </w:tc>
        <w:tc>
          <w:tcPr>
            <w:tcW w:w="738"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2540" w:type="dxa"/>
            <w:tcBorders/>
            <w:shd w:fill="CCEEFF" w:val="clear"/>
            <w:vAlign w:val="center"/>
          </w:tcPr>
          <w:p>
            <w:pPr>
              <w:pStyle w:val="TableContents"/>
              <w:spacing w:before="0" w:after="283"/>
              <w:jc w:val="left"/>
              <w:rPr>
                <w:sz w:val="20"/>
              </w:rPr>
            </w:pPr>
            <w:r>
              <w:rPr>
                <w:sz w:val="20"/>
              </w:rPr>
              <w:t>Share-based payment expenses</w:t>
            </w:r>
          </w:p>
        </w:tc>
        <w:tc>
          <w:tcPr>
            <w:tcW w:w="60"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89"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89" w:type="dxa"/>
            <w:tcBorders/>
            <w:shd w:fill="CCEEFF" w:val="clear"/>
            <w:vAlign w:val="center"/>
          </w:tcPr>
          <w:p>
            <w:pPr>
              <w:pStyle w:val="TableContents"/>
              <w:spacing w:before="0" w:after="283"/>
              <w:jc w:val="right"/>
              <w:rPr>
                <w:sz w:val="20"/>
              </w:rPr>
            </w:pPr>
            <w:r>
              <w:rPr>
                <w:sz w:val="20"/>
              </w:rPr>
              <w:t>88,355</w:t>
            </w:r>
          </w:p>
        </w:tc>
        <w:tc>
          <w:tcPr>
            <w:tcW w:w="90"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jc w:val="left"/>
              <w:rPr/>
            </w:pPr>
            <w:r>
              <w:rPr/>
              <w:t> </w:t>
            </w:r>
          </w:p>
        </w:tc>
        <w:tc>
          <w:tcPr>
            <w:tcW w:w="738" w:type="dxa"/>
            <w:tcBorders/>
            <w:shd w:fill="CCEEFF" w:val="clear"/>
            <w:vAlign w:val="center"/>
          </w:tcPr>
          <w:p>
            <w:pPr>
              <w:pStyle w:val="TableContents"/>
              <w:spacing w:before="0" w:after="283"/>
              <w:jc w:val="right"/>
              <w:rPr>
                <w:sz w:val="20"/>
              </w:rPr>
            </w:pPr>
            <w:r>
              <w:rPr>
                <w:sz w:val="20"/>
              </w:rPr>
              <w:t>90,648</w:t>
            </w:r>
          </w:p>
        </w:tc>
        <w:tc>
          <w:tcPr>
            <w:tcW w:w="95" w:type="dxa"/>
            <w:tcBorders/>
            <w:shd w:fill="CCEEFF" w:val="clear"/>
            <w:vAlign w:val="center"/>
          </w:tcPr>
          <w:p>
            <w:pPr>
              <w:pStyle w:val="TableContents"/>
              <w:spacing w:before="0" w:after="283"/>
              <w:jc w:val="left"/>
              <w:rPr/>
            </w:pPr>
            <w:r>
              <w:rPr/>
              <w:t> </w:t>
            </w:r>
          </w:p>
        </w:tc>
      </w:tr>
      <w:tr>
        <w:trPr/>
        <w:tc>
          <w:tcPr>
            <w:tcW w:w="2540" w:type="dxa"/>
            <w:tcBorders/>
            <w:shd w:fill="FFFFFF" w:val="clear"/>
            <w:vAlign w:val="center"/>
          </w:tcPr>
          <w:p>
            <w:pPr>
              <w:pStyle w:val="TableContents"/>
              <w:spacing w:before="0" w:after="283"/>
              <w:jc w:val="left"/>
              <w:rPr>
                <w:sz w:val="20"/>
              </w:rPr>
            </w:pPr>
            <w:r>
              <w:rPr>
                <w:sz w:val="20"/>
              </w:rPr>
              <w:t>Adjusted profit/(loss)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9"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(55,826</w:t>
            </w:r>
          </w:p>
        </w:tc>
        <w:tc>
          <w:tcPr>
            <w:tcW w:w="9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9"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170,998</w:t>
            </w:r>
          </w:p>
        </w:tc>
        <w:tc>
          <w:tcPr>
            <w:tcW w:w="9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3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30,282</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Financial Position</w:t>
      </w:r>
    </w:p>
    <w:p>
      <w:pPr>
        <w:pStyle w:val="TextBody"/>
        <w:spacing w:before="0" w:after="0"/>
        <w:ind w:left="0" w:right="0" w:hanging="0"/>
        <w:rPr>
          <w:caps w:val="false"/>
          <w:smallCaps w:val="false"/>
        </w:rPr>
      </w:pPr>
      <w:r>
        <w:rPr>
          <w:caps w:val="false"/>
          <w:smallCaps w:val="false"/>
        </w:rPr>
        <w:t> </w:t>
      </w:r>
    </w:p>
    <w:tbl>
      <w:tblPr>
        <w:tblW w:w="5843" w:type="dxa"/>
        <w:jc w:val="left"/>
        <w:tblInd w:w="0" w:type="dxa"/>
        <w:tblCellMar>
          <w:top w:w="0" w:type="dxa"/>
          <w:left w:w="0" w:type="dxa"/>
          <w:bottom w:w="0" w:type="dxa"/>
          <w:right w:w="0" w:type="dxa"/>
        </w:tblCellMar>
      </w:tblPr>
      <w:tblGrid>
        <w:gridCol w:w="4070"/>
        <w:gridCol w:w="60"/>
        <w:gridCol w:w="60"/>
        <w:gridCol w:w="699"/>
        <w:gridCol w:w="60"/>
        <w:gridCol w:w="60"/>
        <w:gridCol w:w="60"/>
        <w:gridCol w:w="699"/>
        <w:gridCol w:w="75"/>
      </w:tblGrid>
      <w:tr>
        <w:trPr/>
        <w:tc>
          <w:tcPr>
            <w:tcW w:w="40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38"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0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5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5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0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5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5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0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59" w:type="dxa"/>
            <w:gridSpan w:val="2"/>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59" w:type="dxa"/>
            <w:gridSpan w:val="2"/>
            <w:tcBorders/>
            <w:shd w:fill="auto" w:val="clear"/>
            <w:vAlign w:val="center"/>
          </w:tcPr>
          <w:p>
            <w:pPr>
              <w:pStyle w:val="TableContents"/>
              <w:spacing w:before="0" w:after="283"/>
              <w:jc w:val="center"/>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0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38" w:type="dxa"/>
            <w:gridSpan w:val="6"/>
            <w:tcBorders/>
            <w:shd w:fill="auto" w:val="clear"/>
            <w:vAlign w:val="center"/>
          </w:tcPr>
          <w:p>
            <w:pPr>
              <w:pStyle w:val="TableContents"/>
              <w:spacing w:before="0" w:after="283"/>
              <w:jc w:val="center"/>
              <w:rPr>
                <w:b/>
                <w:i/>
                <w:sz w:val="20"/>
              </w:rPr>
            </w:pPr>
            <w:r>
              <w:rPr>
                <w:b/>
                <w:i/>
                <w:sz w:val="20"/>
              </w:rPr>
              <w:t>(in thousands)</w:t>
            </w:r>
          </w:p>
        </w:tc>
        <w:tc>
          <w:tcPr>
            <w:tcW w:w="75" w:type="dxa"/>
            <w:tcBorders/>
            <w:shd w:fill="auto" w:val="clear"/>
            <w:vAlign w:val="center"/>
          </w:tcPr>
          <w:p>
            <w:pPr>
              <w:pStyle w:val="TableContents"/>
              <w:spacing w:before="0" w:after="283"/>
              <w:rPr/>
            </w:pPr>
            <w:r>
              <w:rPr/>
              <w:t> </w:t>
            </w:r>
          </w:p>
        </w:tc>
      </w:tr>
      <w:tr>
        <w:trPr/>
        <w:tc>
          <w:tcPr>
            <w:tcW w:w="4070" w:type="dxa"/>
            <w:tcBorders/>
            <w:shd w:fill="CCEEFF" w:val="clear"/>
            <w:vAlign w:val="center"/>
          </w:tcPr>
          <w:p>
            <w:pPr>
              <w:pStyle w:val="TableContents"/>
              <w:spacing w:before="0" w:after="283"/>
              <w:rPr>
                <w:b/>
                <w:sz w:val="20"/>
              </w:rPr>
            </w:pPr>
            <w:r>
              <w:rPr>
                <w:b/>
                <w:sz w:val="20"/>
              </w:rPr>
              <w:t>Assets</w:t>
            </w:r>
          </w:p>
        </w:tc>
        <w:tc>
          <w:tcPr>
            <w:tcW w:w="60" w:type="dxa"/>
            <w:tcBorders/>
            <w:shd w:fill="CCEEFF" w:val="clear"/>
            <w:vAlign w:val="center"/>
          </w:tcPr>
          <w:p>
            <w:pPr>
              <w:pStyle w:val="TableContents"/>
              <w:spacing w:before="0" w:after="283"/>
              <w:rPr/>
            </w:pPr>
            <w:r>
              <w:rPr/>
              <w:t> </w:t>
            </w:r>
          </w:p>
        </w:tc>
        <w:tc>
          <w:tcPr>
            <w:tcW w:w="759" w:type="dxa"/>
            <w:gridSpan w:val="2"/>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59" w:type="dxa"/>
            <w:gridSpan w:val="2"/>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4070" w:type="dxa"/>
            <w:tcBorders/>
            <w:shd w:fill="FFFFFF" w:val="clear"/>
            <w:vAlign w:val="center"/>
          </w:tcPr>
          <w:p>
            <w:pPr>
              <w:pStyle w:val="TableContents"/>
              <w:spacing w:before="0" w:after="283"/>
              <w:jc w:val="left"/>
              <w:rPr>
                <w:sz w:val="20"/>
              </w:rPr>
            </w:pPr>
            <w:r>
              <w:rPr>
                <w:sz w:val="20"/>
              </w:rPr>
              <w:t>Cash and cash equivalents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372,088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231,362</w:t>
            </w:r>
          </w:p>
        </w:tc>
        <w:tc>
          <w:tcPr>
            <w:tcW w:w="75" w:type="dxa"/>
            <w:tcBorders/>
            <w:shd w:fill="FFFFFF" w:val="clear"/>
            <w:vAlign w:val="center"/>
          </w:tcPr>
          <w:p>
            <w:pPr>
              <w:pStyle w:val="TableContents"/>
              <w:spacing w:before="0" w:after="283"/>
              <w:jc w:val="left"/>
              <w:rPr/>
            </w:pPr>
            <w:r>
              <w:rPr/>
              <w:t> </w:t>
            </w:r>
          </w:p>
        </w:tc>
      </w:tr>
      <w:tr>
        <w:trPr/>
        <w:tc>
          <w:tcPr>
            <w:tcW w:w="4070" w:type="dxa"/>
            <w:tcBorders/>
            <w:shd w:fill="CCEEFF" w:val="clear"/>
            <w:vAlign w:val="center"/>
          </w:tcPr>
          <w:p>
            <w:pPr>
              <w:pStyle w:val="TableContents"/>
              <w:spacing w:before="0" w:after="283"/>
              <w:rPr>
                <w:sz w:val="20"/>
              </w:rPr>
            </w:pPr>
            <w:r>
              <w:rPr>
                <w:sz w:val="20"/>
              </w:rPr>
              <w:t>Cryptocurrencies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6,187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2,175</w:t>
            </w:r>
          </w:p>
        </w:tc>
        <w:tc>
          <w:tcPr>
            <w:tcW w:w="75" w:type="dxa"/>
            <w:tcBorders/>
            <w:shd w:fill="CCEEFF" w:val="clear"/>
            <w:vAlign w:val="center"/>
          </w:tcPr>
          <w:p>
            <w:pPr>
              <w:pStyle w:val="TableContents"/>
              <w:spacing w:before="0" w:after="283"/>
              <w:jc w:val="left"/>
              <w:rPr/>
            </w:pPr>
            <w:r>
              <w:rPr/>
              <w:t> </w:t>
            </w:r>
          </w:p>
        </w:tc>
      </w:tr>
      <w:tr>
        <w:trPr/>
        <w:tc>
          <w:tcPr>
            <w:tcW w:w="4070" w:type="dxa"/>
            <w:tcBorders/>
            <w:shd w:fill="FFFFFF" w:val="clear"/>
            <w:vAlign w:val="center"/>
          </w:tcPr>
          <w:p>
            <w:pPr>
              <w:pStyle w:val="TableContents"/>
              <w:spacing w:before="0" w:after="283"/>
              <w:jc w:val="left"/>
              <w:rPr>
                <w:sz w:val="20"/>
              </w:rPr>
            </w:pPr>
            <w:r>
              <w:rPr>
                <w:sz w:val="20"/>
              </w:rPr>
              <w:t>Trade receivables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8,238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18,304</w:t>
            </w:r>
          </w:p>
        </w:tc>
        <w:tc>
          <w:tcPr>
            <w:tcW w:w="75" w:type="dxa"/>
            <w:tcBorders/>
            <w:shd w:fill="FFFFFF" w:val="clear"/>
            <w:vAlign w:val="center"/>
          </w:tcPr>
          <w:p>
            <w:pPr>
              <w:pStyle w:val="TableContents"/>
              <w:spacing w:before="0" w:after="283"/>
              <w:jc w:val="left"/>
              <w:rPr/>
            </w:pPr>
            <w:r>
              <w:rPr/>
              <w:t> </w:t>
            </w:r>
          </w:p>
        </w:tc>
      </w:tr>
      <w:tr>
        <w:trPr/>
        <w:tc>
          <w:tcPr>
            <w:tcW w:w="4070" w:type="dxa"/>
            <w:tcBorders/>
            <w:shd w:fill="CCEEFF" w:val="clear"/>
            <w:vAlign w:val="center"/>
          </w:tcPr>
          <w:p>
            <w:pPr>
              <w:pStyle w:val="TableContents"/>
              <w:spacing w:before="0" w:after="283"/>
              <w:jc w:val="left"/>
              <w:rPr>
                <w:sz w:val="20"/>
              </w:rPr>
            </w:pPr>
            <w:r>
              <w:rPr>
                <w:sz w:val="20"/>
              </w:rPr>
              <w:t>Amounts due from a related party</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1,500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397</w:t>
            </w:r>
          </w:p>
        </w:tc>
        <w:tc>
          <w:tcPr>
            <w:tcW w:w="75" w:type="dxa"/>
            <w:tcBorders/>
            <w:shd w:fill="CCEEFF" w:val="clear"/>
            <w:vAlign w:val="center"/>
          </w:tcPr>
          <w:p>
            <w:pPr>
              <w:pStyle w:val="TableContents"/>
              <w:spacing w:before="0" w:after="283"/>
              <w:jc w:val="left"/>
              <w:rPr/>
            </w:pPr>
            <w:r>
              <w:rPr/>
              <w:t> </w:t>
            </w:r>
          </w:p>
        </w:tc>
      </w:tr>
      <w:tr>
        <w:trPr/>
        <w:tc>
          <w:tcPr>
            <w:tcW w:w="4070" w:type="dxa"/>
            <w:tcBorders/>
            <w:shd w:fill="FFFFFF" w:val="clear"/>
            <w:vAlign w:val="center"/>
          </w:tcPr>
          <w:p>
            <w:pPr>
              <w:pStyle w:val="TableContents"/>
              <w:spacing w:before="0" w:after="283"/>
              <w:jc w:val="left"/>
              <w:rPr>
                <w:sz w:val="20"/>
              </w:rPr>
            </w:pPr>
            <w:r>
              <w:rPr>
                <w:sz w:val="20"/>
              </w:rPr>
              <w:t>Mining machines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46,469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27,703</w:t>
            </w:r>
          </w:p>
        </w:tc>
        <w:tc>
          <w:tcPr>
            <w:tcW w:w="75" w:type="dxa"/>
            <w:tcBorders/>
            <w:shd w:fill="FFFFFF" w:val="clear"/>
            <w:vAlign w:val="center"/>
          </w:tcPr>
          <w:p>
            <w:pPr>
              <w:pStyle w:val="TableContents"/>
              <w:spacing w:before="0" w:after="283"/>
              <w:jc w:val="left"/>
              <w:rPr/>
            </w:pPr>
            <w:r>
              <w:rPr/>
              <w:t> </w:t>
            </w:r>
          </w:p>
        </w:tc>
      </w:tr>
      <w:tr>
        <w:trPr/>
        <w:tc>
          <w:tcPr>
            <w:tcW w:w="4070" w:type="dxa"/>
            <w:tcBorders/>
            <w:shd w:fill="CCEEFF" w:val="clear"/>
            <w:vAlign w:val="center"/>
          </w:tcPr>
          <w:p>
            <w:pPr>
              <w:pStyle w:val="TableContents"/>
              <w:spacing w:before="0" w:after="283"/>
              <w:jc w:val="left"/>
              <w:rPr>
                <w:sz w:val="20"/>
              </w:rPr>
            </w:pPr>
            <w:r>
              <w:rPr>
                <w:sz w:val="20"/>
              </w:rPr>
              <w:t>Prepayments and other assets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34,637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59,576</w:t>
            </w:r>
          </w:p>
        </w:tc>
        <w:tc>
          <w:tcPr>
            <w:tcW w:w="75" w:type="dxa"/>
            <w:tcBorders/>
            <w:shd w:fill="CCEEFF" w:val="clear"/>
            <w:vAlign w:val="center"/>
          </w:tcPr>
          <w:p>
            <w:pPr>
              <w:pStyle w:val="TableContents"/>
              <w:spacing w:before="0" w:after="283"/>
              <w:jc w:val="left"/>
              <w:rPr/>
            </w:pPr>
            <w:r>
              <w:rPr/>
              <w:t> </w:t>
            </w:r>
          </w:p>
        </w:tc>
      </w:tr>
      <w:tr>
        <w:trPr/>
        <w:tc>
          <w:tcPr>
            <w:tcW w:w="4070" w:type="dxa"/>
            <w:tcBorders/>
            <w:shd w:fill="FFFFFF" w:val="clear"/>
            <w:vAlign w:val="center"/>
          </w:tcPr>
          <w:p>
            <w:pPr>
              <w:pStyle w:val="TableContents"/>
              <w:spacing w:before="0" w:after="283"/>
              <w:jc w:val="left"/>
              <w:rPr>
                <w:sz w:val="20"/>
              </w:rPr>
            </w:pPr>
            <w:r>
              <w:rPr>
                <w:sz w:val="20"/>
              </w:rPr>
              <w:t>Financial assets at fair value through profit or loss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1,250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60,959</w:t>
            </w:r>
          </w:p>
        </w:tc>
        <w:tc>
          <w:tcPr>
            <w:tcW w:w="75" w:type="dxa"/>
            <w:tcBorders/>
            <w:shd w:fill="FFFFFF" w:val="clear"/>
            <w:vAlign w:val="center"/>
          </w:tcPr>
          <w:p>
            <w:pPr>
              <w:pStyle w:val="TableContents"/>
              <w:spacing w:before="0" w:after="283"/>
              <w:jc w:val="left"/>
              <w:rPr/>
            </w:pPr>
            <w:r>
              <w:rPr/>
              <w:t> </w:t>
            </w:r>
          </w:p>
        </w:tc>
      </w:tr>
      <w:tr>
        <w:trPr/>
        <w:tc>
          <w:tcPr>
            <w:tcW w:w="4070" w:type="dxa"/>
            <w:tcBorders/>
            <w:shd w:fill="CCEEFF" w:val="clear"/>
            <w:vAlign w:val="center"/>
          </w:tcPr>
          <w:p>
            <w:pPr>
              <w:pStyle w:val="TableContents"/>
              <w:spacing w:before="0" w:after="283"/>
              <w:jc w:val="left"/>
              <w:rPr>
                <w:sz w:val="20"/>
              </w:rPr>
            </w:pPr>
            <w:r>
              <w:rPr>
                <w:sz w:val="20"/>
              </w:rPr>
              <w:t>Restricted cash</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10,310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11,494</w:t>
            </w:r>
          </w:p>
        </w:tc>
        <w:tc>
          <w:tcPr>
            <w:tcW w:w="75" w:type="dxa"/>
            <w:tcBorders/>
            <w:shd w:fill="CCEEFF" w:val="clear"/>
            <w:vAlign w:val="center"/>
          </w:tcPr>
          <w:p>
            <w:pPr>
              <w:pStyle w:val="TableContents"/>
              <w:spacing w:before="0" w:after="283"/>
              <w:jc w:val="left"/>
              <w:rPr/>
            </w:pPr>
            <w:r>
              <w:rPr/>
              <w:t> </w:t>
            </w:r>
          </w:p>
        </w:tc>
      </w:tr>
      <w:tr>
        <w:trPr/>
        <w:tc>
          <w:tcPr>
            <w:tcW w:w="4070" w:type="dxa"/>
            <w:tcBorders/>
            <w:shd w:fill="FFFFFF" w:val="clear"/>
            <w:vAlign w:val="center"/>
          </w:tcPr>
          <w:p>
            <w:pPr>
              <w:pStyle w:val="TableContents"/>
              <w:spacing w:before="0" w:after="283"/>
              <w:jc w:val="left"/>
              <w:rPr>
                <w:sz w:val="20"/>
              </w:rPr>
            </w:pPr>
            <w:r>
              <w:rPr>
                <w:sz w:val="20"/>
              </w:rPr>
              <w:t>Right-of-use assets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58,941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60,082</w:t>
            </w:r>
          </w:p>
        </w:tc>
        <w:tc>
          <w:tcPr>
            <w:tcW w:w="75" w:type="dxa"/>
            <w:tcBorders/>
            <w:shd w:fill="FFFFFF" w:val="clear"/>
            <w:vAlign w:val="center"/>
          </w:tcPr>
          <w:p>
            <w:pPr>
              <w:pStyle w:val="TableContents"/>
              <w:spacing w:before="0" w:after="283"/>
              <w:jc w:val="left"/>
              <w:rPr/>
            </w:pPr>
            <w:r>
              <w:rPr/>
              <w:t> </w:t>
            </w:r>
          </w:p>
        </w:tc>
      </w:tr>
      <w:tr>
        <w:trPr/>
        <w:tc>
          <w:tcPr>
            <w:tcW w:w="4070" w:type="dxa"/>
            <w:tcBorders/>
            <w:shd w:fill="CCEEFF" w:val="clear"/>
            <w:vAlign w:val="center"/>
          </w:tcPr>
          <w:p>
            <w:pPr>
              <w:pStyle w:val="TableContents"/>
              <w:spacing w:before="0" w:after="283"/>
              <w:jc w:val="left"/>
              <w:rPr>
                <w:sz w:val="20"/>
              </w:rPr>
            </w:pPr>
            <w:r>
              <w:rPr>
                <w:sz w:val="20"/>
              </w:rPr>
              <w:t>Property, plant and equipment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102,617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138,636</w:t>
            </w:r>
          </w:p>
        </w:tc>
        <w:tc>
          <w:tcPr>
            <w:tcW w:w="75" w:type="dxa"/>
            <w:tcBorders/>
            <w:shd w:fill="CCEEFF" w:val="clear"/>
            <w:vAlign w:val="center"/>
          </w:tcPr>
          <w:p>
            <w:pPr>
              <w:pStyle w:val="TableContents"/>
              <w:spacing w:before="0" w:after="283"/>
              <w:jc w:val="left"/>
              <w:rPr/>
            </w:pPr>
            <w:r>
              <w:rPr/>
              <w:t> </w:t>
            </w:r>
          </w:p>
        </w:tc>
      </w:tr>
      <w:tr>
        <w:trPr/>
        <w:tc>
          <w:tcPr>
            <w:tcW w:w="4070" w:type="dxa"/>
            <w:tcBorders/>
            <w:shd w:fill="FFFFFF" w:val="clear"/>
            <w:vAlign w:val="center"/>
          </w:tcPr>
          <w:p>
            <w:pPr>
              <w:pStyle w:val="TableContents"/>
              <w:spacing w:before="0" w:after="283"/>
              <w:jc w:val="left"/>
              <w:rPr>
                <w:sz w:val="20"/>
              </w:rPr>
            </w:pPr>
            <w:r>
              <w:rPr>
                <w:sz w:val="20"/>
              </w:rPr>
              <w:t>Investment properties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35,542</w:t>
            </w:r>
          </w:p>
        </w:tc>
        <w:tc>
          <w:tcPr>
            <w:tcW w:w="75" w:type="dxa"/>
            <w:tcBorders/>
            <w:shd w:fill="FFFFFF" w:val="clear"/>
            <w:vAlign w:val="center"/>
          </w:tcPr>
          <w:p>
            <w:pPr>
              <w:pStyle w:val="TableContents"/>
              <w:spacing w:before="0" w:after="283"/>
              <w:jc w:val="left"/>
              <w:rPr/>
            </w:pPr>
            <w:r>
              <w:rPr/>
              <w:t> </w:t>
            </w:r>
          </w:p>
        </w:tc>
      </w:tr>
      <w:tr>
        <w:trPr/>
        <w:tc>
          <w:tcPr>
            <w:tcW w:w="4070" w:type="dxa"/>
            <w:tcBorders/>
            <w:shd w:fill="CCEEFF" w:val="clear"/>
            <w:vAlign w:val="center"/>
          </w:tcPr>
          <w:p>
            <w:pPr>
              <w:pStyle w:val="TableContents"/>
              <w:spacing w:before="0" w:after="283"/>
              <w:jc w:val="left"/>
              <w:rPr>
                <w:sz w:val="20"/>
              </w:rPr>
            </w:pPr>
            <w:r>
              <w:rPr>
                <w:sz w:val="20"/>
              </w:rPr>
              <w:t>Intangible assets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115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322</w:t>
            </w:r>
          </w:p>
        </w:tc>
        <w:tc>
          <w:tcPr>
            <w:tcW w:w="75" w:type="dxa"/>
            <w:tcBorders/>
            <w:shd w:fill="CCEEFF" w:val="clear"/>
            <w:vAlign w:val="center"/>
          </w:tcPr>
          <w:p>
            <w:pPr>
              <w:pStyle w:val="TableContents"/>
              <w:spacing w:before="0" w:after="283"/>
              <w:jc w:val="left"/>
              <w:rPr/>
            </w:pPr>
            <w:r>
              <w:rPr/>
              <w:t> </w:t>
            </w:r>
          </w:p>
        </w:tc>
      </w:tr>
      <w:tr>
        <w:trPr/>
        <w:tc>
          <w:tcPr>
            <w:tcW w:w="4070" w:type="dxa"/>
            <w:tcBorders/>
            <w:shd w:fill="FFFFFF" w:val="clear"/>
            <w:vAlign w:val="center"/>
          </w:tcPr>
          <w:p>
            <w:pPr>
              <w:pStyle w:val="TableContents"/>
              <w:spacing w:before="0" w:after="283"/>
              <w:jc w:val="left"/>
              <w:rPr>
                <w:sz w:val="20"/>
              </w:rPr>
            </w:pPr>
            <w:r>
              <w:rPr>
                <w:sz w:val="20"/>
              </w:rPr>
              <w:t>Deferred tax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9"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4,622</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9"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4,857</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spacing w:before="0" w:after="283"/>
              <w:jc w:val="left"/>
              <w:rPr>
                <w:b/>
                <w:sz w:val="20"/>
              </w:rPr>
            </w:pPr>
            <w:r>
              <w:rPr>
                <w:b/>
                <w:sz w:val="20"/>
              </w:rPr>
              <w:t>Total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646,974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651,409</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spacing w:before="0" w:after="283"/>
              <w:rPr>
                <w:b/>
                <w:sz w:val="20"/>
              </w:rPr>
            </w:pPr>
            <w:r>
              <w:rPr>
                <w:b/>
                <w:sz w:val="20"/>
              </w:rPr>
              <w:t>Liabilities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4070" w:type="dxa"/>
            <w:tcBorders/>
            <w:shd w:fill="CCEEFF" w:val="clear"/>
            <w:vAlign w:val="center"/>
          </w:tcPr>
          <w:p>
            <w:pPr>
              <w:pStyle w:val="TableContents"/>
              <w:spacing w:before="0" w:after="283"/>
              <w:jc w:val="left"/>
              <w:rPr>
                <w:sz w:val="20"/>
              </w:rPr>
            </w:pPr>
            <w:r>
              <w:rPr>
                <w:sz w:val="20"/>
              </w:rPr>
              <w:t>Trade payables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17,740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15,768</w:t>
            </w:r>
          </w:p>
        </w:tc>
        <w:tc>
          <w:tcPr>
            <w:tcW w:w="75" w:type="dxa"/>
            <w:tcBorders/>
            <w:shd w:fill="CCEEFF" w:val="clear"/>
            <w:vAlign w:val="center"/>
          </w:tcPr>
          <w:p>
            <w:pPr>
              <w:pStyle w:val="TableContents"/>
              <w:spacing w:before="0" w:after="283"/>
              <w:jc w:val="left"/>
              <w:rPr/>
            </w:pPr>
            <w:r>
              <w:rPr/>
              <w:t> </w:t>
            </w:r>
          </w:p>
        </w:tc>
      </w:tr>
      <w:tr>
        <w:trPr/>
        <w:tc>
          <w:tcPr>
            <w:tcW w:w="4070" w:type="dxa"/>
            <w:tcBorders/>
            <w:shd w:fill="FFFFFF" w:val="clear"/>
            <w:vAlign w:val="center"/>
          </w:tcPr>
          <w:p>
            <w:pPr>
              <w:pStyle w:val="TableContents"/>
              <w:spacing w:before="0" w:after="283"/>
              <w:jc w:val="left"/>
              <w:rPr>
                <w:sz w:val="20"/>
              </w:rPr>
            </w:pPr>
            <w:r>
              <w:rPr>
                <w:sz w:val="20"/>
              </w:rPr>
              <w:t>Other payables and accruals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17,258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22,176</w:t>
            </w:r>
          </w:p>
        </w:tc>
        <w:tc>
          <w:tcPr>
            <w:tcW w:w="75" w:type="dxa"/>
            <w:tcBorders/>
            <w:shd w:fill="FFFFFF" w:val="clear"/>
            <w:vAlign w:val="center"/>
          </w:tcPr>
          <w:p>
            <w:pPr>
              <w:pStyle w:val="TableContents"/>
              <w:spacing w:before="0" w:after="283"/>
              <w:jc w:val="left"/>
              <w:rPr/>
            </w:pPr>
            <w:r>
              <w:rPr/>
              <w:t> </w:t>
            </w:r>
          </w:p>
        </w:tc>
      </w:tr>
      <w:tr>
        <w:trPr/>
        <w:tc>
          <w:tcPr>
            <w:tcW w:w="4070" w:type="dxa"/>
            <w:tcBorders/>
            <w:shd w:fill="CCEEFF" w:val="clear"/>
            <w:vAlign w:val="center"/>
          </w:tcPr>
          <w:p>
            <w:pPr>
              <w:pStyle w:val="TableContents"/>
              <w:spacing w:before="0" w:after="283"/>
              <w:jc w:val="left"/>
              <w:rPr>
                <w:sz w:val="20"/>
              </w:rPr>
            </w:pPr>
            <w:r>
              <w:rPr>
                <w:sz w:val="20"/>
              </w:rPr>
              <w:t>Amounts due to a related party</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19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316</w:t>
            </w:r>
          </w:p>
        </w:tc>
        <w:tc>
          <w:tcPr>
            <w:tcW w:w="75" w:type="dxa"/>
            <w:tcBorders/>
            <w:shd w:fill="CCEEFF" w:val="clear"/>
            <w:vAlign w:val="center"/>
          </w:tcPr>
          <w:p>
            <w:pPr>
              <w:pStyle w:val="TableContents"/>
              <w:spacing w:before="0" w:after="283"/>
              <w:jc w:val="left"/>
              <w:rPr/>
            </w:pPr>
            <w:r>
              <w:rPr/>
              <w:t> </w:t>
            </w:r>
          </w:p>
        </w:tc>
      </w:tr>
      <w:tr>
        <w:trPr/>
        <w:tc>
          <w:tcPr>
            <w:tcW w:w="4070" w:type="dxa"/>
            <w:tcBorders/>
            <w:shd w:fill="FFFFFF" w:val="clear"/>
            <w:vAlign w:val="center"/>
          </w:tcPr>
          <w:p>
            <w:pPr>
              <w:pStyle w:val="TableContents"/>
              <w:spacing w:before="0" w:after="283"/>
              <w:jc w:val="left"/>
              <w:rPr>
                <w:sz w:val="20"/>
              </w:rPr>
            </w:pPr>
            <w:r>
              <w:rPr>
                <w:sz w:val="20"/>
              </w:rPr>
              <w:t>Income tax payables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10,454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657</w:t>
            </w:r>
          </w:p>
        </w:tc>
        <w:tc>
          <w:tcPr>
            <w:tcW w:w="75" w:type="dxa"/>
            <w:tcBorders/>
            <w:shd w:fill="FFFFFF" w:val="clear"/>
            <w:vAlign w:val="center"/>
          </w:tcPr>
          <w:p>
            <w:pPr>
              <w:pStyle w:val="TableContents"/>
              <w:spacing w:before="0" w:after="283"/>
              <w:jc w:val="left"/>
              <w:rPr/>
            </w:pPr>
            <w:r>
              <w:rPr/>
              <w:t> </w:t>
            </w:r>
          </w:p>
        </w:tc>
      </w:tr>
      <w:tr>
        <w:trPr/>
        <w:tc>
          <w:tcPr>
            <w:tcW w:w="4070" w:type="dxa"/>
            <w:tcBorders/>
            <w:shd w:fill="CCEEFF" w:val="clear"/>
            <w:vAlign w:val="center"/>
          </w:tcPr>
          <w:p>
            <w:pPr>
              <w:pStyle w:val="TableContents"/>
              <w:spacing w:before="0" w:after="283"/>
              <w:jc w:val="left"/>
              <w:rPr>
                <w:sz w:val="20"/>
              </w:rPr>
            </w:pPr>
            <w:r>
              <w:rPr>
                <w:sz w:val="20"/>
              </w:rPr>
              <w:t>Deferred revenue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213,449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182,297</w:t>
            </w:r>
          </w:p>
        </w:tc>
        <w:tc>
          <w:tcPr>
            <w:tcW w:w="75" w:type="dxa"/>
            <w:tcBorders/>
            <w:shd w:fill="CCEEFF" w:val="clear"/>
            <w:vAlign w:val="center"/>
          </w:tcPr>
          <w:p>
            <w:pPr>
              <w:pStyle w:val="TableContents"/>
              <w:spacing w:before="0" w:after="283"/>
              <w:jc w:val="left"/>
              <w:rPr/>
            </w:pPr>
            <w:r>
              <w:rPr/>
              <w:t> </w:t>
            </w:r>
          </w:p>
        </w:tc>
      </w:tr>
      <w:tr>
        <w:trPr/>
        <w:tc>
          <w:tcPr>
            <w:tcW w:w="4070" w:type="dxa"/>
            <w:tcBorders/>
            <w:shd w:fill="FFFFFF" w:val="clear"/>
            <w:vAlign w:val="center"/>
          </w:tcPr>
          <w:p>
            <w:pPr>
              <w:pStyle w:val="TableContents"/>
              <w:spacing w:before="0" w:after="283"/>
              <w:rPr>
                <w:sz w:val="20"/>
              </w:rPr>
            </w:pPr>
            <w:r>
              <w:rPr>
                <w:sz w:val="20"/>
              </w:rPr>
              <w:t>Borrowings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29,460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29,805</w:t>
            </w:r>
          </w:p>
        </w:tc>
        <w:tc>
          <w:tcPr>
            <w:tcW w:w="75" w:type="dxa"/>
            <w:tcBorders/>
            <w:shd w:fill="FFFFFF" w:val="clear"/>
            <w:vAlign w:val="center"/>
          </w:tcPr>
          <w:p>
            <w:pPr>
              <w:pStyle w:val="TableContents"/>
              <w:spacing w:before="0" w:after="283"/>
              <w:jc w:val="left"/>
              <w:rPr/>
            </w:pPr>
            <w:r>
              <w:rPr/>
              <w:t> </w:t>
            </w:r>
          </w:p>
        </w:tc>
      </w:tr>
      <w:tr>
        <w:trPr/>
        <w:tc>
          <w:tcPr>
            <w:tcW w:w="4070" w:type="dxa"/>
            <w:tcBorders/>
            <w:shd w:fill="CCEEFF" w:val="clear"/>
            <w:vAlign w:val="center"/>
          </w:tcPr>
          <w:p>
            <w:pPr>
              <w:pStyle w:val="TableContents"/>
              <w:spacing w:before="0" w:after="283"/>
              <w:jc w:val="left"/>
              <w:rPr>
                <w:sz w:val="20"/>
              </w:rPr>
            </w:pPr>
            <w:r>
              <w:rPr>
                <w:sz w:val="20"/>
              </w:rPr>
              <w:t>Lease liabilities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62,968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70,425</w:t>
            </w:r>
          </w:p>
        </w:tc>
        <w:tc>
          <w:tcPr>
            <w:tcW w:w="75" w:type="dxa"/>
            <w:tcBorders/>
            <w:shd w:fill="CCEEFF" w:val="clear"/>
            <w:vAlign w:val="center"/>
          </w:tcPr>
          <w:p>
            <w:pPr>
              <w:pStyle w:val="TableContents"/>
              <w:spacing w:before="0" w:after="283"/>
              <w:jc w:val="left"/>
              <w:rPr/>
            </w:pPr>
            <w:r>
              <w:rPr/>
              <w:t> </w:t>
            </w:r>
          </w:p>
        </w:tc>
      </w:tr>
      <w:tr>
        <w:trPr/>
        <w:tc>
          <w:tcPr>
            <w:tcW w:w="4070" w:type="dxa"/>
            <w:tcBorders/>
            <w:shd w:fill="FFFFFF" w:val="clear"/>
            <w:vAlign w:val="center"/>
          </w:tcPr>
          <w:p>
            <w:pPr>
              <w:pStyle w:val="TableContents"/>
              <w:spacing w:before="0" w:after="283"/>
              <w:jc w:val="left"/>
              <w:rPr>
                <w:sz w:val="20"/>
              </w:rPr>
            </w:pPr>
            <w:r>
              <w:rPr>
                <w:sz w:val="20"/>
              </w:rPr>
              <w:t>Deferred tax liabilities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9"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9"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11,626</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spacing w:before="0" w:after="283"/>
              <w:jc w:val="left"/>
              <w:rPr>
                <w:b/>
                <w:sz w:val="20"/>
              </w:rPr>
            </w:pPr>
            <w:r>
              <w:rPr>
                <w:b/>
                <w:sz w:val="20"/>
              </w:rPr>
              <w:t>Total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358,895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333,070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spacing w:before="0" w:after="283"/>
              <w:jc w:val="left"/>
              <w:rPr>
                <w:b/>
                <w:sz w:val="20"/>
              </w:rPr>
            </w:pPr>
            <w:r>
              <w:rPr>
                <w:b/>
                <w:sz w:val="20"/>
              </w:rPr>
              <w:t>Net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9"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288,079</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9"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318,339</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spacing w:before="0" w:after="283"/>
              <w:rPr>
                <w:b/>
                <w:sz w:val="20"/>
              </w:rPr>
            </w:pPr>
            <w:r>
              <w:rPr>
                <w:b/>
                <w:sz w:val="20"/>
              </w:rPr>
              <w:t>Equity</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4070" w:type="dxa"/>
            <w:tcBorders/>
            <w:shd w:fill="FFFFFF" w:val="clear"/>
            <w:vAlign w:val="center"/>
          </w:tcPr>
          <w:p>
            <w:pPr>
              <w:pStyle w:val="TableContents"/>
              <w:spacing w:before="0" w:after="283"/>
              <w:rPr>
                <w:sz w:val="20"/>
              </w:rPr>
            </w:pPr>
            <w:r>
              <w:rPr>
                <w:sz w:val="20"/>
              </w:rPr>
              <w:t>Share capital</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1</w:t>
            </w:r>
          </w:p>
        </w:tc>
        <w:tc>
          <w:tcPr>
            <w:tcW w:w="75" w:type="dxa"/>
            <w:tcBorders/>
            <w:shd w:fill="FFFFFF" w:val="clear"/>
            <w:vAlign w:val="center"/>
          </w:tcPr>
          <w:p>
            <w:pPr>
              <w:pStyle w:val="TableContents"/>
              <w:spacing w:before="0" w:after="283"/>
              <w:jc w:val="left"/>
              <w:rPr/>
            </w:pPr>
            <w:r>
              <w:rPr/>
              <w:t> </w:t>
            </w:r>
          </w:p>
        </w:tc>
      </w:tr>
      <w:tr>
        <w:trPr/>
        <w:tc>
          <w:tcPr>
            <w:tcW w:w="4070" w:type="dxa"/>
            <w:tcBorders/>
            <w:shd w:fill="CCEEFF" w:val="clear"/>
            <w:vAlign w:val="center"/>
          </w:tcPr>
          <w:p>
            <w:pPr>
              <w:pStyle w:val="TableContents"/>
              <w:spacing w:before="0" w:after="283"/>
              <w:jc w:val="left"/>
              <w:rPr>
                <w:sz w:val="20"/>
              </w:rPr>
            </w:pPr>
            <w:r>
              <w:rPr>
                <w:sz w:val="20"/>
              </w:rPr>
              <w:t>Retained earnings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67,169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699" w:type="dxa"/>
            <w:tcBorders/>
            <w:shd w:fill="CCEEFF" w:val="clear"/>
            <w:vAlign w:val="center"/>
          </w:tcPr>
          <w:p>
            <w:pPr>
              <w:pStyle w:val="TableContents"/>
              <w:spacing w:before="0" w:after="283"/>
              <w:jc w:val="right"/>
              <w:rPr>
                <w:sz w:val="20"/>
              </w:rPr>
            </w:pPr>
            <w:r>
              <w:rPr>
                <w:sz w:val="20"/>
              </w:rPr>
              <w:t>6,803</w:t>
            </w:r>
          </w:p>
        </w:tc>
        <w:tc>
          <w:tcPr>
            <w:tcW w:w="75" w:type="dxa"/>
            <w:tcBorders/>
            <w:shd w:fill="CCEEFF" w:val="clear"/>
            <w:vAlign w:val="center"/>
          </w:tcPr>
          <w:p>
            <w:pPr>
              <w:pStyle w:val="TableContents"/>
              <w:spacing w:before="0" w:after="283"/>
              <w:jc w:val="left"/>
              <w:rPr/>
            </w:pPr>
            <w:r>
              <w:rPr/>
              <w:t> </w:t>
            </w:r>
          </w:p>
        </w:tc>
      </w:tr>
      <w:tr>
        <w:trPr/>
        <w:tc>
          <w:tcPr>
            <w:tcW w:w="4070" w:type="dxa"/>
            <w:tcBorders/>
            <w:shd w:fill="FFFFFF" w:val="clear"/>
            <w:vAlign w:val="center"/>
          </w:tcPr>
          <w:p>
            <w:pPr>
              <w:pStyle w:val="TableContents"/>
              <w:spacing w:before="0" w:after="283"/>
              <w:rPr>
                <w:sz w:val="20"/>
              </w:rPr>
            </w:pPr>
            <w:r>
              <w:rPr>
                <w:sz w:val="20"/>
              </w:rPr>
              <w:t>Reserves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220,909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699" w:type="dxa"/>
            <w:tcBorders/>
            <w:shd w:fill="FFFFFF" w:val="clear"/>
            <w:vAlign w:val="center"/>
          </w:tcPr>
          <w:p>
            <w:pPr>
              <w:pStyle w:val="TableContents"/>
              <w:spacing w:before="0" w:after="283"/>
              <w:jc w:val="right"/>
              <w:rPr>
                <w:sz w:val="20"/>
              </w:rPr>
            </w:pPr>
            <w:r>
              <w:rPr>
                <w:sz w:val="20"/>
              </w:rPr>
              <w:t>311,535</w:t>
            </w:r>
          </w:p>
        </w:tc>
        <w:tc>
          <w:tcPr>
            <w:tcW w:w="75" w:type="dxa"/>
            <w:tcBorders/>
            <w:shd w:fill="FFFFFF" w:val="clear"/>
            <w:vAlign w:val="center"/>
          </w:tcPr>
          <w:p>
            <w:pPr>
              <w:pStyle w:val="TableContents"/>
              <w:spacing w:before="0" w:after="283"/>
              <w:jc w:val="left"/>
              <w:rPr/>
            </w:pPr>
            <w:r>
              <w:rPr/>
              <w:t> </w:t>
            </w:r>
          </w:p>
        </w:tc>
      </w:tr>
      <w:tr>
        <w:trPr/>
        <w:tc>
          <w:tcPr>
            <w:tcW w:w="4070" w:type="dxa"/>
            <w:tcBorders/>
            <w:shd w:fill="CCEEFF" w:val="clear"/>
            <w:vAlign w:val="center"/>
          </w:tcPr>
          <w:p>
            <w:pPr>
              <w:pStyle w:val="TableContents"/>
              <w:spacing w:before="0" w:after="283"/>
              <w:jc w:val="left"/>
              <w:rPr>
                <w:b/>
                <w:sz w:val="20"/>
              </w:rPr>
            </w:pPr>
            <w:r>
              <w:rPr>
                <w:b/>
                <w:sz w:val="20"/>
              </w:rPr>
              <w:t>Total Equity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288,079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318,339</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rPr/>
      </w:pPr>
      <w:r>
        <w:rPr/>
        <w:t> </w:t>
      </w:r>
    </w:p>
    <w:p>
      <w:pPr>
        <w:pStyle w:val="TextBody"/>
        <w:spacing w:before="0" w:after="0"/>
        <w:ind w:left="0" w:right="0" w:hanging="0"/>
        <w:jc w:val="right"/>
        <w:rPr>
          <w:sz w:val="20"/>
          <w:bdr w:val="single" w:sz="8" w:space="1" w:color="000000"/>
        </w:rPr>
      </w:pPr>
      <w:r>
        <w:rPr>
          <w:sz w:val="20"/>
          <w:bdr w:val="single" w:sz="8" w:space="1" w:color="000000"/>
        </w:rPr>
        <w:t>4</w:t>
      </w:r>
    </w:p>
    <w:p>
      <w:pPr>
        <w:pStyle w:val="TextBody"/>
        <w:spacing w:before="0" w:after="0"/>
        <w:ind w:left="0" w:right="0" w:hanging="0"/>
        <w:rPr/>
      </w:pPr>
      <w:r>
        <w:rPr/>
        <w:t> </w:t>
      </w:r>
    </w:p>
    <w:p>
      <w:pPr>
        <w:pStyle w:val="TextBody"/>
        <w:rPr/>
      </w:pPr>
      <w:r>
        <w:rPr/>
        <w:t> </w:t>
      </w:r>
    </w:p>
    <w:p>
      <w:pPr>
        <w:pStyle w:val="TextBody"/>
        <w:rPr/>
      </w:pPr>
      <w:r>
        <w:rPr/>
        <w:drawing>
          <wp:inline distT="0" distB="0" distL="0" distR="0">
            <wp:extent cx="1647825" cy="419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47825" cy="419100"/>
                    </a:xfrm>
                    <a:prstGeom prst="rect">
                      <a:avLst/>
                    </a:prstGeom>
                  </pic:spPr>
                </pic:pic>
              </a:graphicData>
            </a:graphic>
          </wp:inline>
        </w:drawing>
      </w:r>
      <w:r>
        <w:rPr/>
        <w:t> </w:t>
      </w:r>
    </w:p>
    <w:p>
      <w:pPr>
        <w:pStyle w:val="TextBody"/>
        <w:rPr/>
      </w:pPr>
      <w:r>
        <w:rPr/>
        <w:t> </w:t>
      </w:r>
    </w:p>
    <w:p>
      <w:pPr>
        <w:pStyle w:val="TextBody"/>
        <w:spacing w:before="60" w:after="60"/>
        <w:rPr>
          <w:bdr w:val="single" w:sz="8" w:space="1" w:color="000000"/>
        </w:rPr>
      </w:pPr>
      <w:r>
        <w:rPr>
          <w:bdr w:val="single" w:sz="8" w:space="1" w:color="000000"/>
        </w:rPr>
        <w:t> </w:t>
      </w:r>
    </w:p>
    <w:p>
      <w:pPr>
        <w:pStyle w:val="TextBody"/>
        <w:rPr/>
      </w:pPr>
      <w:r>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Income / (Loss)</w:t>
      </w:r>
    </w:p>
    <w:p>
      <w:pPr>
        <w:pStyle w:val="TextBody"/>
        <w:spacing w:before="0" w:after="0"/>
        <w:ind w:left="0" w:right="0" w:hanging="0"/>
        <w:rPr>
          <w:caps w:val="false"/>
          <w:smallCaps w:val="false"/>
        </w:rPr>
      </w:pPr>
      <w:r>
        <w:rPr>
          <w:caps w:val="false"/>
          <w:smallCaps w:val="false"/>
        </w:rPr>
        <w:t> </w:t>
      </w:r>
    </w:p>
    <w:tbl>
      <w:tblPr>
        <w:tblW w:w="9095" w:type="dxa"/>
        <w:jc w:val="left"/>
        <w:tblInd w:w="0" w:type="dxa"/>
        <w:tblCellMar>
          <w:top w:w="0" w:type="dxa"/>
          <w:left w:w="0" w:type="dxa"/>
          <w:bottom w:w="0" w:type="dxa"/>
          <w:right w:w="0" w:type="dxa"/>
        </w:tblCellMar>
      </w:tblPr>
      <w:tblGrid>
        <w:gridCol w:w="5630"/>
        <w:gridCol w:w="60"/>
        <w:gridCol w:w="60"/>
        <w:gridCol w:w="950"/>
        <w:gridCol w:w="80"/>
        <w:gridCol w:w="60"/>
        <w:gridCol w:w="60"/>
        <w:gridCol w:w="950"/>
        <w:gridCol w:w="80"/>
        <w:gridCol w:w="60"/>
        <w:gridCol w:w="60"/>
        <w:gridCol w:w="950"/>
        <w:gridCol w:w="95"/>
      </w:tblGrid>
      <w:tr>
        <w:trPr/>
        <w:tc>
          <w:tcPr>
            <w:tcW w:w="5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310" w:type="dxa"/>
            <w:gridSpan w:val="10"/>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63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10" w:type="dxa"/>
            <w:gridSpan w:val="2"/>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2020</w:t>
            </w:r>
          </w:p>
          <w:p>
            <w:pPr>
              <w:pStyle w:val="TableContents"/>
              <w:spacing w:before="0" w:after="0"/>
              <w:ind w:left="0" w:right="0" w:hanging="0"/>
              <w:jc w:val="center"/>
              <w:rPr>
                <w:rFonts w:ascii="Times New Roman;Times;Serif" w:hAnsi="Times New Roman;Times;Serif"/>
                <w:b/>
                <w:i w:val="false"/>
                <w:caps w:val="false"/>
                <w:smallCaps w:val="false"/>
                <w:sz w:val="20"/>
                <w:bdr w:val="single" w:sz="4" w:space="1" w:color="000000"/>
              </w:rPr>
            </w:pPr>
            <w:r>
              <w:rPr>
                <w:rFonts w:ascii="Times New Roman;Times;Serif" w:hAnsi="Times New Roman;Times;Serif"/>
                <w:b/>
                <w:i w:val="false"/>
                <w:caps w:val="false"/>
                <w:smallCaps w:val="false"/>
                <w:sz w:val="20"/>
                <w:bdr w:val="single" w:sz="4" w:space="1" w:color="000000"/>
              </w:rPr>
              <w:t>(Restated)</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1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1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1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1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1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10" w:type="dxa"/>
            <w:gridSpan w:val="2"/>
            <w:tcBorders/>
            <w:shd w:fill="auto" w:val="clear"/>
            <w:vAlign w:val="center"/>
          </w:tcPr>
          <w:p>
            <w:pPr>
              <w:pStyle w:val="TableContents"/>
              <w:spacing w:before="0" w:after="283"/>
              <w:jc w:val="center"/>
              <w:rPr>
                <w:caps w:val="false"/>
                <w:smallCaps w:val="false"/>
              </w:rPr>
            </w:pPr>
            <w:r>
              <w:rPr>
                <w:caps w:val="false"/>
                <w:smallCaps w:val="false"/>
              </w:rPr>
              <w:t> </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10" w:type="dxa"/>
            <w:gridSpan w:val="2"/>
            <w:tcBorders/>
            <w:shd w:fill="auto" w:val="clear"/>
            <w:vAlign w:val="center"/>
          </w:tcPr>
          <w:p>
            <w:pPr>
              <w:pStyle w:val="TableContents"/>
              <w:spacing w:before="0" w:after="283"/>
              <w:jc w:val="center"/>
              <w:rPr>
                <w:caps w:val="false"/>
                <w:smallCaps w:val="false"/>
              </w:rPr>
            </w:pPr>
            <w:r>
              <w:rPr>
                <w:caps w:val="false"/>
                <w:smallCaps w:val="false"/>
              </w:rPr>
              <w:t> </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10" w:type="dxa"/>
            <w:gridSpan w:val="2"/>
            <w:tcBorders/>
            <w:shd w:fill="auto" w:val="clear"/>
            <w:vAlign w:val="center"/>
          </w:tcPr>
          <w:p>
            <w:pPr>
              <w:pStyle w:val="TableContents"/>
              <w:spacing w:before="0" w:after="283"/>
              <w:jc w:val="center"/>
              <w:rPr>
                <w:caps w:val="false"/>
                <w:smallCaps w:val="false"/>
              </w:rPr>
            </w:pPr>
            <w:r>
              <w:rPr>
                <w:caps w:val="false"/>
                <w:smallCaps w:val="false"/>
              </w:rPr>
              <w:t> </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6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10" w:type="dxa"/>
            <w:gridSpan w:val="10"/>
            <w:tcBorders/>
            <w:shd w:fill="auto" w:val="clear"/>
            <w:vAlign w:val="center"/>
          </w:tcPr>
          <w:p>
            <w:pPr>
              <w:pStyle w:val="TableContents"/>
              <w:spacing w:before="0" w:after="283"/>
              <w:jc w:val="center"/>
              <w:rPr>
                <w:b/>
                <w:i/>
                <w:sz w:val="20"/>
              </w:rPr>
            </w:pPr>
            <w:r>
              <w:rPr>
                <w:b/>
                <w:i/>
                <w:sz w:val="20"/>
              </w:rPr>
              <w:t>(in thousands)</w:t>
            </w:r>
          </w:p>
        </w:tc>
        <w:tc>
          <w:tcPr>
            <w:tcW w:w="95" w:type="dxa"/>
            <w:tcBorders/>
            <w:shd w:fill="auto" w:val="clear"/>
            <w:vAlign w:val="center"/>
          </w:tcPr>
          <w:p>
            <w:pPr>
              <w:pStyle w:val="TableContents"/>
              <w:spacing w:before="0" w:after="283"/>
              <w:rPr/>
            </w:pPr>
            <w:r>
              <w:rPr/>
              <w:t> </w:t>
            </w:r>
          </w:p>
        </w:tc>
      </w:tr>
      <w:tr>
        <w:trPr/>
        <w:tc>
          <w:tcPr>
            <w:tcW w:w="5630" w:type="dxa"/>
            <w:tcBorders/>
            <w:shd w:fill="CCEEFF" w:val="clear"/>
            <w:vAlign w:val="center"/>
          </w:tcPr>
          <w:p>
            <w:pPr>
              <w:pStyle w:val="TableContents"/>
              <w:spacing w:before="0" w:after="283"/>
              <w:rPr>
                <w:b/>
                <w:sz w:val="20"/>
              </w:rPr>
            </w:pPr>
            <w:r>
              <w:rPr>
                <w:b/>
                <w:sz w:val="20"/>
              </w:rPr>
              <w:t>Revenue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b/>
                <w:sz w:val="20"/>
              </w:rPr>
            </w:pPr>
            <w:r>
              <w:rPr>
                <w:b/>
                <w:sz w:val="20"/>
              </w:rPr>
              <w:t>186,387</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b/>
                <w:sz w:val="20"/>
              </w:rPr>
            </w:pPr>
            <w:r>
              <w:rPr>
                <w:b/>
                <w:sz w:val="20"/>
              </w:rPr>
              <w:t>394,661</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b/>
                <w:sz w:val="20"/>
              </w:rPr>
            </w:pPr>
            <w:r>
              <w:rPr>
                <w:b/>
                <w:sz w:val="20"/>
              </w:rPr>
              <w:t>333,342</w:t>
            </w:r>
          </w:p>
        </w:tc>
        <w:tc>
          <w:tcPr>
            <w:tcW w:w="95" w:type="dxa"/>
            <w:tcBorders/>
            <w:shd w:fill="CCEEFF" w:val="clear"/>
            <w:vAlign w:val="center"/>
          </w:tcPr>
          <w:p>
            <w:pPr>
              <w:pStyle w:val="TableContents"/>
              <w:spacing w:before="0" w:after="283"/>
              <w:jc w:val="left"/>
              <w:rPr/>
            </w:pPr>
            <w:r>
              <w:rPr/>
              <w:t> </w:t>
            </w:r>
          </w:p>
        </w:tc>
      </w:tr>
      <w:tr>
        <w:trPr/>
        <w:tc>
          <w:tcPr>
            <w:tcW w:w="5630" w:type="dxa"/>
            <w:tcBorders/>
            <w:shd w:fill="FFFFFF" w:val="clear"/>
            <w:vAlign w:val="center"/>
          </w:tcPr>
          <w:p>
            <w:pPr>
              <w:pStyle w:val="TableContents"/>
              <w:spacing w:before="0" w:after="283"/>
              <w:rPr>
                <w:sz w:val="20"/>
              </w:rPr>
            </w:pPr>
            <w:r>
              <w:rPr>
                <w:sz w:val="20"/>
              </w:rPr>
              <w:t>Cost of revenue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(209,564</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(153,255</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(250,090</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30" w:type="dxa"/>
            <w:tcBorders/>
            <w:shd w:fill="CCEEFF" w:val="clear"/>
            <w:vAlign w:val="center"/>
          </w:tcPr>
          <w:p>
            <w:pPr>
              <w:pStyle w:val="TableContents"/>
              <w:spacing w:before="0" w:after="283"/>
              <w:jc w:val="left"/>
              <w:rPr>
                <w:b/>
                <w:sz w:val="20"/>
              </w:rPr>
            </w:pPr>
            <w:r>
              <w:rPr>
                <w:b/>
                <w:sz w:val="20"/>
              </w:rPr>
              <w:t>Gross profit/(loss)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b/>
                <w:sz w:val="20"/>
              </w:rPr>
            </w:pPr>
            <w:r>
              <w:rPr>
                <w:b/>
                <w:sz w:val="20"/>
              </w:rPr>
              <w:t>(23,177</w:t>
            </w:r>
          </w:p>
        </w:tc>
        <w:tc>
          <w:tcPr>
            <w:tcW w:w="80" w:type="dxa"/>
            <w:tcBorders/>
            <w:shd w:fill="CCEEFF" w:val="clear"/>
            <w:vAlign w:val="center"/>
          </w:tcPr>
          <w:p>
            <w:pPr>
              <w:pStyle w:val="TableContents"/>
              <w:spacing w:before="0" w:after="283"/>
              <w:jc w:val="left"/>
              <w:rPr>
                <w:b/>
                <w:sz w:val="20"/>
              </w:rPr>
            </w:pPr>
            <w:r>
              <w:rPr>
                <w:b/>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b/>
                <w:sz w:val="20"/>
              </w:rPr>
            </w:pPr>
            <w:r>
              <w:rPr>
                <w:b/>
                <w:sz w:val="20"/>
              </w:rPr>
              <w:t>241,406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b/>
                <w:sz w:val="20"/>
              </w:rPr>
            </w:pPr>
            <w:r>
              <w:rPr>
                <w:b/>
                <w:sz w:val="20"/>
              </w:rPr>
              <w:t>83,252</w:t>
            </w:r>
          </w:p>
        </w:tc>
        <w:tc>
          <w:tcPr>
            <w:tcW w:w="95" w:type="dxa"/>
            <w:tcBorders/>
            <w:shd w:fill="CCEEFF" w:val="clear"/>
            <w:vAlign w:val="center"/>
          </w:tcPr>
          <w:p>
            <w:pPr>
              <w:pStyle w:val="TableContents"/>
              <w:spacing w:before="0" w:after="283"/>
              <w:jc w:val="left"/>
              <w:rPr/>
            </w:pPr>
            <w:r>
              <w:rPr/>
              <w:t> </w:t>
            </w:r>
          </w:p>
        </w:tc>
      </w:tr>
      <w:tr>
        <w:trPr/>
        <w:tc>
          <w:tcPr>
            <w:tcW w:w="5630" w:type="dxa"/>
            <w:tcBorders/>
            <w:shd w:fill="FFFFFF" w:val="clear"/>
            <w:vAlign w:val="center"/>
          </w:tcPr>
          <w:p>
            <w:pPr>
              <w:pStyle w:val="TableContents"/>
              <w:spacing w:before="0" w:after="283"/>
              <w:jc w:val="left"/>
              <w:rPr>
                <w:sz w:val="20"/>
              </w:rPr>
            </w:pPr>
            <w:r>
              <w:rPr>
                <w:sz w:val="20"/>
              </w:rPr>
              <w:t>Selling expenses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20"/>
              </w:rPr>
            </w:pPr>
            <w:r>
              <w:rPr>
                <w:sz w:val="20"/>
              </w:rPr>
              <w:t>(5,567</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20"/>
              </w:rPr>
            </w:pPr>
            <w:r>
              <w:rPr>
                <w:sz w:val="20"/>
              </w:rPr>
              <w:t>(8,448</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20"/>
              </w:rPr>
            </w:pPr>
            <w:r>
              <w:rPr>
                <w:sz w:val="20"/>
              </w:rPr>
              <w:t>(11,683</w:t>
            </w:r>
          </w:p>
        </w:tc>
        <w:tc>
          <w:tcPr>
            <w:tcW w:w="95" w:type="dxa"/>
            <w:tcBorders/>
            <w:shd w:fill="FFFFFF" w:val="clear"/>
            <w:vAlign w:val="center"/>
          </w:tcPr>
          <w:p>
            <w:pPr>
              <w:pStyle w:val="TableContents"/>
              <w:spacing w:before="0" w:after="283"/>
              <w:jc w:val="left"/>
              <w:rPr>
                <w:sz w:val="20"/>
              </w:rPr>
            </w:pPr>
            <w:r>
              <w:rPr>
                <w:sz w:val="20"/>
              </w:rPr>
              <w:t>)</w:t>
            </w:r>
          </w:p>
        </w:tc>
      </w:tr>
      <w:tr>
        <w:trPr/>
        <w:tc>
          <w:tcPr>
            <w:tcW w:w="5630" w:type="dxa"/>
            <w:tcBorders/>
            <w:shd w:fill="CCEEFF" w:val="clear"/>
            <w:vAlign w:val="center"/>
          </w:tcPr>
          <w:p>
            <w:pPr>
              <w:pStyle w:val="TableContents"/>
              <w:spacing w:before="0" w:after="283"/>
              <w:jc w:val="left"/>
              <w:rPr>
                <w:sz w:val="20"/>
              </w:rPr>
            </w:pPr>
            <w:r>
              <w:rPr>
                <w:sz w:val="20"/>
              </w:rPr>
              <w:t>General and administrative expenses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20"/>
              </w:rPr>
            </w:pPr>
            <w:r>
              <w:rPr>
                <w:sz w:val="20"/>
              </w:rPr>
              <w:t>(20,268</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20"/>
              </w:rPr>
            </w:pPr>
            <w:r>
              <w:rPr>
                <w:sz w:val="20"/>
              </w:rPr>
              <w:t>(89,735</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20"/>
              </w:rPr>
            </w:pPr>
            <w:r>
              <w:rPr>
                <w:sz w:val="20"/>
              </w:rPr>
              <w:t>(93,453</w:t>
            </w:r>
          </w:p>
        </w:tc>
        <w:tc>
          <w:tcPr>
            <w:tcW w:w="95" w:type="dxa"/>
            <w:tcBorders/>
            <w:shd w:fill="CCEEFF" w:val="clear"/>
            <w:vAlign w:val="center"/>
          </w:tcPr>
          <w:p>
            <w:pPr>
              <w:pStyle w:val="TableContents"/>
              <w:spacing w:before="0" w:after="283"/>
              <w:jc w:val="left"/>
              <w:rPr>
                <w:sz w:val="20"/>
              </w:rPr>
            </w:pPr>
            <w:r>
              <w:rPr>
                <w:sz w:val="20"/>
              </w:rPr>
              <w:t>)</w:t>
            </w:r>
          </w:p>
        </w:tc>
      </w:tr>
      <w:tr>
        <w:trPr/>
        <w:tc>
          <w:tcPr>
            <w:tcW w:w="5630" w:type="dxa"/>
            <w:tcBorders/>
            <w:shd w:fill="FFFFFF" w:val="clear"/>
            <w:vAlign w:val="center"/>
          </w:tcPr>
          <w:p>
            <w:pPr>
              <w:pStyle w:val="TableContents"/>
              <w:spacing w:before="0" w:after="283"/>
              <w:jc w:val="left"/>
              <w:rPr>
                <w:sz w:val="20"/>
              </w:rPr>
            </w:pPr>
            <w:r>
              <w:rPr>
                <w:sz w:val="20"/>
              </w:rPr>
              <w:t>Research and development expenses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20"/>
              </w:rPr>
            </w:pPr>
            <w:r>
              <w:rPr>
                <w:sz w:val="20"/>
              </w:rPr>
              <w:t>(9,790</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20"/>
              </w:rPr>
            </w:pPr>
            <w:r>
              <w:rPr>
                <w:sz w:val="20"/>
              </w:rPr>
              <w:t>(29,501</w:t>
            </w:r>
          </w:p>
        </w:tc>
        <w:tc>
          <w:tcPr>
            <w:tcW w:w="80" w:type="dxa"/>
            <w:tcBorders/>
            <w:shd w:fill="FFFFFF" w:val="clear"/>
            <w:vAlign w:val="center"/>
          </w:tcPr>
          <w:p>
            <w:pPr>
              <w:pStyle w:val="TableContents"/>
              <w:spacing w:before="0" w:after="283"/>
              <w:jc w:val="left"/>
              <w:rPr>
                <w:sz w:val="20"/>
              </w:rPr>
            </w:pPr>
            <w:r>
              <w:rPr>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20"/>
              </w:rPr>
            </w:pPr>
            <w:r>
              <w:rPr>
                <w:sz w:val="20"/>
              </w:rPr>
              <w:t>(35,430</w:t>
            </w:r>
          </w:p>
        </w:tc>
        <w:tc>
          <w:tcPr>
            <w:tcW w:w="95" w:type="dxa"/>
            <w:tcBorders/>
            <w:shd w:fill="FFFFFF" w:val="clear"/>
            <w:vAlign w:val="center"/>
          </w:tcPr>
          <w:p>
            <w:pPr>
              <w:pStyle w:val="TableContents"/>
              <w:spacing w:before="0" w:after="283"/>
              <w:jc w:val="left"/>
              <w:rPr>
                <w:sz w:val="20"/>
              </w:rPr>
            </w:pPr>
            <w:r>
              <w:rPr>
                <w:sz w:val="20"/>
              </w:rPr>
              <w:t>)</w:t>
            </w:r>
          </w:p>
        </w:tc>
      </w:tr>
      <w:tr>
        <w:trPr/>
        <w:tc>
          <w:tcPr>
            <w:tcW w:w="5630" w:type="dxa"/>
            <w:tcBorders/>
            <w:shd w:fill="CCEEFF" w:val="clear"/>
            <w:vAlign w:val="center"/>
          </w:tcPr>
          <w:p>
            <w:pPr>
              <w:pStyle w:val="TableContents"/>
              <w:spacing w:before="0" w:after="283"/>
              <w:jc w:val="left"/>
              <w:rPr>
                <w:sz w:val="20"/>
              </w:rPr>
            </w:pPr>
            <w:r>
              <w:rPr>
                <w:sz w:val="20"/>
              </w:rPr>
              <w:t>Other operating incomes / (expenses)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20"/>
              </w:rPr>
            </w:pPr>
            <w:r>
              <w:rPr>
                <w:sz w:val="20"/>
              </w:rPr>
              <w:t>(2,045</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20"/>
              </w:rPr>
            </w:pPr>
            <w:r>
              <w:rPr>
                <w:sz w:val="20"/>
              </w:rPr>
              <w:t>14,625</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20"/>
              </w:rPr>
            </w:pPr>
            <w:r>
              <w:rPr>
                <w:sz w:val="20"/>
              </w:rPr>
              <w:t>(3,628</w:t>
            </w:r>
          </w:p>
        </w:tc>
        <w:tc>
          <w:tcPr>
            <w:tcW w:w="95" w:type="dxa"/>
            <w:tcBorders/>
            <w:shd w:fill="CCEEFF" w:val="clear"/>
            <w:vAlign w:val="center"/>
          </w:tcPr>
          <w:p>
            <w:pPr>
              <w:pStyle w:val="TableContents"/>
              <w:spacing w:before="0" w:after="283"/>
              <w:jc w:val="left"/>
              <w:rPr>
                <w:sz w:val="20"/>
              </w:rPr>
            </w:pPr>
            <w:r>
              <w:rPr>
                <w:sz w:val="20"/>
              </w:rPr>
              <w:t>)</w:t>
            </w:r>
          </w:p>
        </w:tc>
      </w:tr>
      <w:tr>
        <w:trPr/>
        <w:tc>
          <w:tcPr>
            <w:tcW w:w="5630" w:type="dxa"/>
            <w:tcBorders/>
            <w:shd w:fill="FFFFFF" w:val="clear"/>
            <w:vAlign w:val="center"/>
          </w:tcPr>
          <w:p>
            <w:pPr>
              <w:pStyle w:val="TableContents"/>
              <w:spacing w:before="0" w:after="283"/>
              <w:jc w:val="left"/>
              <w:rPr>
                <w:sz w:val="20"/>
              </w:rPr>
            </w:pPr>
            <w:r>
              <w:rPr>
                <w:sz w:val="20"/>
              </w:rPr>
              <w:t>Other net gain / (loss)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(2,560</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630" w:type="dxa"/>
            <w:tcBorders/>
            <w:shd w:fill="CCEEFF" w:val="clear"/>
            <w:vAlign w:val="center"/>
          </w:tcPr>
          <w:p>
            <w:pPr>
              <w:pStyle w:val="TableContents"/>
              <w:spacing w:before="0" w:after="283"/>
              <w:jc w:val="left"/>
              <w:rPr>
                <w:b/>
                <w:sz w:val="20"/>
              </w:rPr>
            </w:pPr>
            <w:r>
              <w:rPr>
                <w:b/>
                <w:sz w:val="20"/>
              </w:rPr>
              <w:t>Profit / (loss) from operations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b/>
                <w:sz w:val="20"/>
              </w:rPr>
            </w:pPr>
            <w:r>
              <w:rPr>
                <w:b/>
                <w:sz w:val="20"/>
              </w:rPr>
              <w:t>(63,407</w:t>
            </w:r>
          </w:p>
        </w:tc>
        <w:tc>
          <w:tcPr>
            <w:tcW w:w="80" w:type="dxa"/>
            <w:tcBorders/>
            <w:shd w:fill="CCEEFF" w:val="clear"/>
            <w:vAlign w:val="center"/>
          </w:tcPr>
          <w:p>
            <w:pPr>
              <w:pStyle w:val="TableContents"/>
              <w:spacing w:before="0" w:after="283"/>
              <w:jc w:val="left"/>
              <w:rPr>
                <w:b/>
                <w:sz w:val="20"/>
              </w:rPr>
            </w:pPr>
            <w:r>
              <w:rPr>
                <w:b/>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b/>
                <w:sz w:val="20"/>
              </w:rPr>
            </w:pPr>
            <w:r>
              <w:rPr>
                <w:b/>
                <w:sz w:val="20"/>
              </w:rPr>
              <w:t>130,830</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b/>
                <w:sz w:val="20"/>
              </w:rPr>
            </w:pPr>
            <w:r>
              <w:rPr>
                <w:b/>
                <w:sz w:val="20"/>
              </w:rPr>
              <w:t>(60,585</w:t>
            </w:r>
          </w:p>
        </w:tc>
        <w:tc>
          <w:tcPr>
            <w:tcW w:w="95" w:type="dxa"/>
            <w:tcBorders/>
            <w:shd w:fill="CCEEFF" w:val="clear"/>
            <w:vAlign w:val="center"/>
          </w:tcPr>
          <w:p>
            <w:pPr>
              <w:pStyle w:val="TableContents"/>
              <w:spacing w:before="0" w:after="283"/>
              <w:jc w:val="left"/>
              <w:rPr>
                <w:b/>
                <w:sz w:val="20"/>
              </w:rPr>
            </w:pPr>
            <w:r>
              <w:rPr>
                <w:b/>
                <w:sz w:val="20"/>
              </w:rPr>
              <w:t>)</w:t>
            </w:r>
          </w:p>
        </w:tc>
      </w:tr>
      <w:tr>
        <w:trPr/>
        <w:tc>
          <w:tcPr>
            <w:tcW w:w="5630" w:type="dxa"/>
            <w:tcBorders/>
            <w:shd w:fill="FFFFFF" w:val="clear"/>
            <w:vAlign w:val="center"/>
          </w:tcPr>
          <w:p>
            <w:pPr>
              <w:pStyle w:val="TableContents"/>
              <w:spacing w:before="0" w:after="283"/>
              <w:jc w:val="left"/>
              <w:rPr>
                <w:sz w:val="20"/>
              </w:rPr>
            </w:pPr>
            <w:r>
              <w:rPr>
                <w:sz w:val="20"/>
              </w:rPr>
              <w:t>Finance income /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(4,181</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30" w:type="dxa"/>
            <w:tcBorders/>
            <w:shd w:fill="CCEEFF" w:val="clear"/>
            <w:vAlign w:val="center"/>
          </w:tcPr>
          <w:p>
            <w:pPr>
              <w:pStyle w:val="TableContents"/>
              <w:spacing w:before="0" w:after="283"/>
              <w:jc w:val="left"/>
              <w:rPr>
                <w:b/>
                <w:sz w:val="20"/>
              </w:rPr>
            </w:pPr>
            <w:r>
              <w:rPr>
                <w:b/>
                <w:sz w:val="20"/>
              </w:rPr>
              <w:t>Profit / (loss) before taxation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b/>
                <w:sz w:val="20"/>
              </w:rPr>
            </w:pPr>
            <w:r>
              <w:rPr>
                <w:b/>
                <w:sz w:val="20"/>
              </w:rPr>
              <w:t>(63,787</w:t>
            </w:r>
          </w:p>
        </w:tc>
        <w:tc>
          <w:tcPr>
            <w:tcW w:w="80" w:type="dxa"/>
            <w:tcBorders/>
            <w:shd w:fill="CCEEFF" w:val="clear"/>
            <w:vAlign w:val="center"/>
          </w:tcPr>
          <w:p>
            <w:pPr>
              <w:pStyle w:val="TableContents"/>
              <w:spacing w:before="0" w:after="283"/>
              <w:jc w:val="left"/>
              <w:rPr>
                <w:b/>
                <w:sz w:val="20"/>
              </w:rPr>
            </w:pPr>
            <w:r>
              <w:rPr>
                <w:b/>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b/>
                <w:sz w:val="20"/>
              </w:rPr>
            </w:pPr>
            <w:r>
              <w:rPr>
                <w:b/>
                <w:sz w:val="20"/>
              </w:rPr>
              <w:t>130,889</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20"/>
              </w:rPr>
            </w:pPr>
            <w:r>
              <w:rPr>
                <w:sz w:val="20"/>
              </w:rPr>
              <w:t>(64,766</w:t>
            </w:r>
          </w:p>
        </w:tc>
        <w:tc>
          <w:tcPr>
            <w:tcW w:w="95" w:type="dxa"/>
            <w:tcBorders/>
            <w:shd w:fill="CCEEFF" w:val="clear"/>
            <w:vAlign w:val="center"/>
          </w:tcPr>
          <w:p>
            <w:pPr>
              <w:pStyle w:val="TableContents"/>
              <w:spacing w:before="0" w:after="283"/>
              <w:jc w:val="left"/>
              <w:rPr>
                <w:sz w:val="20"/>
              </w:rPr>
            </w:pPr>
            <w:r>
              <w:rPr>
                <w:sz w:val="20"/>
              </w:rPr>
              <w:t>)</w:t>
            </w:r>
          </w:p>
        </w:tc>
      </w:tr>
      <w:tr>
        <w:trPr/>
        <w:tc>
          <w:tcPr>
            <w:tcW w:w="5630" w:type="dxa"/>
            <w:tcBorders/>
            <w:shd w:fill="FFFFFF" w:val="clear"/>
            <w:vAlign w:val="center"/>
          </w:tcPr>
          <w:p>
            <w:pPr>
              <w:pStyle w:val="TableContents"/>
              <w:spacing w:before="0" w:after="283"/>
              <w:jc w:val="left"/>
              <w:rPr>
                <w:sz w:val="20"/>
              </w:rPr>
            </w:pPr>
            <w:r>
              <w:rPr>
                <w:sz w:val="20"/>
              </w:rPr>
              <w:t>Income tax benefit /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(48,246</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4,400</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630" w:type="dxa"/>
            <w:tcBorders/>
            <w:shd w:fill="CCEEFF" w:val="clear"/>
            <w:vAlign w:val="center"/>
          </w:tcPr>
          <w:p>
            <w:pPr>
              <w:pStyle w:val="TableContents"/>
              <w:spacing w:before="0" w:after="283"/>
              <w:jc w:val="left"/>
              <w:rPr>
                <w:b/>
                <w:sz w:val="20"/>
              </w:rPr>
            </w:pPr>
            <w:r>
              <w:rPr>
                <w:b/>
                <w:sz w:val="20"/>
              </w:rPr>
              <w:t>Profit / (loss) for the year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(55,826</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82,643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(60,366</w:t>
            </w:r>
          </w:p>
        </w:tc>
        <w:tc>
          <w:tcPr>
            <w:tcW w:w="9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630" w:type="dxa"/>
            <w:tcBorders/>
            <w:shd w:fill="FFFFFF" w:val="clear"/>
            <w:vAlign w:val="center"/>
          </w:tcPr>
          <w:p>
            <w:pPr>
              <w:pStyle w:val="TableContents"/>
              <w:spacing w:before="0" w:after="283"/>
              <w:jc w:val="left"/>
              <w:rPr>
                <w:b/>
                <w:sz w:val="20"/>
              </w:rPr>
            </w:pPr>
            <w:r>
              <w:rPr>
                <w:b/>
                <w:sz w:val="20"/>
              </w:rPr>
              <w:t>Other comprehensive income / (loss)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5630" w:type="dxa"/>
            <w:tcBorders/>
            <w:shd w:fill="CCEEFF" w:val="clear"/>
            <w:vAlign w:val="center"/>
          </w:tcPr>
          <w:p>
            <w:pPr>
              <w:pStyle w:val="TableContents"/>
              <w:spacing w:before="0" w:after="283"/>
              <w:jc w:val="left"/>
              <w:rPr>
                <w:sz w:val="20"/>
              </w:rPr>
            </w:pPr>
            <w:r>
              <w:rPr>
                <w:sz w:val="20"/>
              </w:rPr>
              <w:t>Profit / (loss) for the year</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20"/>
              </w:rPr>
            </w:pPr>
            <w:r>
              <w:rPr>
                <w:sz w:val="20"/>
              </w:rPr>
              <w:t>(55,826</w:t>
            </w:r>
          </w:p>
        </w:tc>
        <w:tc>
          <w:tcPr>
            <w:tcW w:w="80" w:type="dxa"/>
            <w:tcBorders/>
            <w:shd w:fill="CCEEFF" w:val="clear"/>
            <w:vAlign w:val="center"/>
          </w:tcPr>
          <w:p>
            <w:pPr>
              <w:pStyle w:val="TableContents"/>
              <w:spacing w:before="0" w:after="283"/>
              <w:jc w:val="left"/>
              <w:rPr>
                <w:sz w:val="20"/>
              </w:rPr>
            </w:pPr>
            <w:r>
              <w:rPr>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20"/>
              </w:rPr>
            </w:pPr>
            <w:r>
              <w:rPr>
                <w:sz w:val="20"/>
              </w:rPr>
              <w:t>82,643</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20"/>
              </w:rPr>
            </w:pPr>
            <w:r>
              <w:rPr>
                <w:sz w:val="20"/>
              </w:rPr>
              <w:t>(60,366</w:t>
            </w:r>
          </w:p>
        </w:tc>
        <w:tc>
          <w:tcPr>
            <w:tcW w:w="95" w:type="dxa"/>
            <w:tcBorders/>
            <w:shd w:fill="CCEEFF" w:val="clear"/>
            <w:vAlign w:val="center"/>
          </w:tcPr>
          <w:p>
            <w:pPr>
              <w:pStyle w:val="TableContents"/>
              <w:spacing w:before="0" w:after="283"/>
              <w:jc w:val="left"/>
              <w:rPr>
                <w:sz w:val="20"/>
              </w:rPr>
            </w:pPr>
            <w:r>
              <w:rPr>
                <w:sz w:val="20"/>
              </w:rPr>
              <w:t>)</w:t>
            </w:r>
          </w:p>
        </w:tc>
      </w:tr>
      <w:tr>
        <w:trPr/>
        <w:tc>
          <w:tcPr>
            <w:tcW w:w="5630" w:type="dxa"/>
            <w:tcBorders/>
            <w:shd w:fill="FFFFFF" w:val="clear"/>
            <w:vAlign w:val="center"/>
          </w:tcPr>
          <w:p>
            <w:pPr>
              <w:pStyle w:val="TableContents"/>
              <w:spacing w:before="0" w:after="283"/>
              <w:jc w:val="left"/>
              <w:rPr>
                <w:b/>
                <w:sz w:val="20"/>
              </w:rPr>
            </w:pPr>
            <w:r>
              <w:rPr>
                <w:b/>
                <w:sz w:val="20"/>
              </w:rPr>
              <w:t>Other comprehensive income / (loss) for the year</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5630" w:type="dxa"/>
            <w:tcBorders/>
            <w:shd w:fill="CCEEFF" w:val="clear"/>
            <w:vAlign w:val="center"/>
          </w:tcPr>
          <w:p>
            <w:pPr>
              <w:pStyle w:val="TableContents"/>
              <w:spacing w:before="0" w:after="283"/>
              <w:jc w:val="left"/>
              <w:rPr>
                <w:i/>
                <w:sz w:val="20"/>
              </w:rPr>
            </w:pPr>
            <w:r>
              <w:rPr>
                <w:i/>
                <w:sz w:val="20"/>
              </w:rPr>
              <w:t>Item that may be reclassified to profit or loss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5630" w:type="dxa"/>
            <w:tcBorders/>
            <w:shd w:fill="FFFFFF" w:val="clear"/>
            <w:vAlign w:val="center"/>
          </w:tcPr>
          <w:p>
            <w:pPr>
              <w:pStyle w:val="TableContents"/>
              <w:spacing w:before="0" w:after="283"/>
              <w:jc w:val="left"/>
              <w:rPr>
                <w:b w:val="false"/>
                <w:i w:val="false"/>
                <w:caps w:val="false"/>
                <w:smallCaps w:val="false"/>
                <w:sz w:val="20"/>
              </w:rPr>
            </w:pPr>
            <w:r>
              <w:rPr>
                <w:b w:val="false"/>
                <w:i w:val="false"/>
                <w:caps w:val="false"/>
                <w:smallCaps w:val="false"/>
                <w:sz w:val="20"/>
              </w:rPr>
              <w:t>- Exchange differences on translation of financial statements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30" w:type="dxa"/>
            <w:tcBorders/>
            <w:shd w:fill="CCEEFF" w:val="clear"/>
            <w:vAlign w:val="center"/>
          </w:tcPr>
          <w:p>
            <w:pPr>
              <w:pStyle w:val="TableContents"/>
              <w:spacing w:before="0" w:after="283"/>
              <w:jc w:val="left"/>
              <w:rPr>
                <w:b/>
                <w:sz w:val="20"/>
              </w:rPr>
            </w:pPr>
            <w:r>
              <w:rPr>
                <w:b/>
                <w:sz w:val="20"/>
              </w:rPr>
              <w:t>Other comprehensive income / (loss) for the year, net of tax</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9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630" w:type="dxa"/>
            <w:tcBorders/>
            <w:shd w:fill="FFFFFF" w:val="clear"/>
            <w:vAlign w:val="center"/>
          </w:tcPr>
          <w:p>
            <w:pPr>
              <w:pStyle w:val="TableContents"/>
              <w:spacing w:before="0" w:after="283"/>
              <w:jc w:val="left"/>
              <w:rPr>
                <w:b/>
                <w:sz w:val="20"/>
              </w:rPr>
            </w:pPr>
            <w:r>
              <w:rPr>
                <w:b/>
                <w:sz w:val="20"/>
              </w:rPr>
              <w:t>Total comprehensive income / (loss) for the year</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(54,921</w:t>
            </w:r>
          </w:p>
        </w:tc>
        <w:tc>
          <w:tcPr>
            <w:tcW w:w="8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82,448</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(60,388</w:t>
            </w:r>
          </w:p>
        </w:tc>
        <w:tc>
          <w:tcPr>
            <w:tcW w:w="95"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630" w:type="dxa"/>
            <w:tcBorders/>
            <w:shd w:fill="CCEEFF" w:val="clear"/>
            <w:vAlign w:val="center"/>
          </w:tcPr>
          <w:p>
            <w:pPr>
              <w:pStyle w:val="TableContents"/>
              <w:spacing w:before="0" w:after="283"/>
              <w:rPr>
                <w:b/>
                <w:sz w:val="20"/>
              </w:rPr>
            </w:pPr>
            <w:r>
              <w:rPr>
                <w:b/>
                <w:sz w:val="20"/>
              </w:rPr>
              <w:t>Earnings / (loss) per share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5630" w:type="dxa"/>
            <w:tcBorders/>
            <w:shd w:fill="FFFFFF" w:val="clear"/>
            <w:vAlign w:val="center"/>
          </w:tcPr>
          <w:p>
            <w:pPr>
              <w:pStyle w:val="TableContents"/>
              <w:spacing w:before="0" w:after="283"/>
              <w:rPr>
                <w:sz w:val="20"/>
              </w:rPr>
            </w:pPr>
            <w:r>
              <w:rPr>
                <w:sz w:val="20"/>
              </w:rPr>
              <w:t>Basic</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30" w:type="dxa"/>
            <w:tcBorders/>
            <w:shd w:fill="CCEEFF" w:val="clear"/>
            <w:vAlign w:val="center"/>
          </w:tcPr>
          <w:p>
            <w:pPr>
              <w:pStyle w:val="TableContents"/>
              <w:spacing w:before="0" w:after="283"/>
              <w:rPr>
                <w:sz w:val="20"/>
              </w:rPr>
            </w:pPr>
            <w:r>
              <w:rPr>
                <w:sz w:val="20"/>
              </w:rPr>
              <w:t>Diluted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30" w:type="dxa"/>
            <w:tcBorders/>
            <w:shd w:fill="FFFFFF" w:val="clear"/>
            <w:vAlign w:val="center"/>
          </w:tcPr>
          <w:p>
            <w:pPr>
              <w:pStyle w:val="TableContents"/>
              <w:spacing w:before="0" w:after="283"/>
              <w:rPr>
                <w:b/>
                <w:sz w:val="20"/>
              </w:rPr>
            </w:pPr>
            <w:r>
              <w:rPr>
                <w:b/>
                <w:sz w:val="20"/>
              </w:rPr>
              <w:t>Weighted average number of shares outstanding (thousand shares)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5630" w:type="dxa"/>
            <w:tcBorders/>
            <w:shd w:fill="CCEEFF" w:val="clear"/>
            <w:vAlign w:val="center"/>
          </w:tcPr>
          <w:p>
            <w:pPr>
              <w:pStyle w:val="TableContents"/>
              <w:spacing w:before="0" w:after="283"/>
              <w:rPr>
                <w:sz w:val="20"/>
              </w:rPr>
            </w:pPr>
            <w:r>
              <w:rPr>
                <w:sz w:val="20"/>
              </w:rPr>
              <w:t>Basic</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20"/>
              </w:rPr>
            </w:pPr>
            <w:r>
              <w:rPr>
                <w:sz w:val="20"/>
              </w:rPr>
              <w:t>12,662,126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20"/>
              </w:rPr>
            </w:pPr>
            <w:r>
              <w:rPr>
                <w:sz w:val="20"/>
              </w:rPr>
              <w:t>12,662,126</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50" w:type="dxa"/>
            <w:tcBorders/>
            <w:shd w:fill="CCEEFF" w:val="clear"/>
            <w:vAlign w:val="center"/>
          </w:tcPr>
          <w:p>
            <w:pPr>
              <w:pStyle w:val="TableContents"/>
              <w:spacing w:before="0" w:after="283"/>
              <w:jc w:val="right"/>
              <w:rPr>
                <w:sz w:val="20"/>
              </w:rPr>
            </w:pPr>
            <w:r>
              <w:rPr>
                <w:sz w:val="20"/>
              </w:rPr>
              <w:t>12,662,126</w:t>
            </w:r>
          </w:p>
        </w:tc>
        <w:tc>
          <w:tcPr>
            <w:tcW w:w="95" w:type="dxa"/>
            <w:tcBorders/>
            <w:shd w:fill="CCEEFF" w:val="clear"/>
            <w:vAlign w:val="center"/>
          </w:tcPr>
          <w:p>
            <w:pPr>
              <w:pStyle w:val="TableContents"/>
              <w:spacing w:before="0" w:after="283"/>
              <w:jc w:val="left"/>
              <w:rPr/>
            </w:pPr>
            <w:r>
              <w:rPr/>
              <w:t> </w:t>
            </w:r>
          </w:p>
        </w:tc>
      </w:tr>
      <w:tr>
        <w:trPr/>
        <w:tc>
          <w:tcPr>
            <w:tcW w:w="5630" w:type="dxa"/>
            <w:tcBorders/>
            <w:shd w:fill="FFFFFF" w:val="clear"/>
            <w:vAlign w:val="center"/>
          </w:tcPr>
          <w:p>
            <w:pPr>
              <w:pStyle w:val="TableContents"/>
              <w:spacing w:before="0" w:after="283"/>
              <w:rPr>
                <w:sz w:val="20"/>
              </w:rPr>
            </w:pPr>
            <w:r>
              <w:rPr>
                <w:sz w:val="20"/>
              </w:rPr>
              <w:t>Diluted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20"/>
              </w:rPr>
            </w:pPr>
            <w:r>
              <w:rPr>
                <w:sz w:val="20"/>
              </w:rPr>
              <w:t>12,662,126</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20"/>
              </w:rPr>
            </w:pPr>
            <w:r>
              <w:rPr>
                <w:sz w:val="20"/>
              </w:rPr>
              <w:t>12,977,177</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950" w:type="dxa"/>
            <w:tcBorders/>
            <w:shd w:fill="FFFFFF" w:val="clear"/>
            <w:vAlign w:val="center"/>
          </w:tcPr>
          <w:p>
            <w:pPr>
              <w:pStyle w:val="TableContents"/>
              <w:spacing w:before="0" w:after="283"/>
              <w:jc w:val="right"/>
              <w:rPr>
                <w:sz w:val="20"/>
              </w:rPr>
            </w:pPr>
            <w:r>
              <w:rPr>
                <w:sz w:val="20"/>
              </w:rPr>
              <w:t>12,662,126</w:t>
            </w:r>
          </w:p>
        </w:tc>
        <w:tc>
          <w:tcPr>
            <w:tcW w:w="95" w:type="dxa"/>
            <w:tcBorders/>
            <w:shd w:fill="FFFFFF" w:val="clear"/>
            <w:vAlign w:val="center"/>
          </w:tcPr>
          <w:p>
            <w:pPr>
              <w:pStyle w:val="TableContents"/>
              <w:spacing w:before="0" w:after="283"/>
              <w:jc w:val="left"/>
              <w:rPr/>
            </w:pPr>
            <w:r>
              <w:rPr/>
              <w:t> </w:t>
            </w:r>
          </w:p>
        </w:tc>
      </w:tr>
    </w:tbl>
    <w:p>
      <w:pPr>
        <w:pStyle w:val="TextBody"/>
        <w:rPr/>
      </w:pPr>
      <w:r>
        <w:rPr/>
        <w:t> </w:t>
      </w:r>
    </w:p>
    <w:p>
      <w:pPr>
        <w:pStyle w:val="TextBody"/>
        <w:spacing w:before="0" w:after="0"/>
        <w:ind w:left="0" w:right="0" w:hanging="0"/>
        <w:jc w:val="right"/>
        <w:rPr>
          <w:sz w:val="20"/>
          <w:bdr w:val="single" w:sz="8" w:space="1" w:color="000000"/>
        </w:rPr>
      </w:pPr>
      <w:r>
        <w:rPr>
          <w:sz w:val="20"/>
          <w:bdr w:val="single" w:sz="8" w:space="1" w:color="000000"/>
        </w:rPr>
        <w:t>5</w:t>
      </w:r>
    </w:p>
    <w:p>
      <w:pPr>
        <w:pStyle w:val="TextBody"/>
        <w:spacing w:before="0" w:after="0"/>
        <w:ind w:left="0" w:right="0" w:hanging="0"/>
        <w:rPr/>
      </w:pPr>
      <w:r>
        <w:rPr/>
        <w:t> </w:t>
      </w:r>
    </w:p>
    <w:p>
      <w:pPr>
        <w:pStyle w:val="TextBody"/>
        <w:rPr/>
      </w:pPr>
      <w:r>
        <w:rPr/>
        <w:t> </w:t>
      </w:r>
    </w:p>
    <w:p>
      <w:pPr>
        <w:pStyle w:val="TextBody"/>
        <w:rPr/>
      </w:pPr>
      <w:r>
        <w:rPr/>
        <w:drawing>
          <wp:inline distT="0" distB="0" distL="0" distR="0">
            <wp:extent cx="1657350" cy="428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57350" cy="428625"/>
                    </a:xfrm>
                    <a:prstGeom prst="rect">
                      <a:avLst/>
                    </a:prstGeom>
                  </pic:spPr>
                </pic:pic>
              </a:graphicData>
            </a:graphic>
          </wp:inline>
        </w:drawing>
      </w:r>
      <w:r>
        <w:rPr/>
        <w:t> </w:t>
      </w:r>
    </w:p>
    <w:p>
      <w:pPr>
        <w:pStyle w:val="TextBody"/>
        <w:rPr/>
      </w:pPr>
      <w:r>
        <w:rPr/>
        <w:t> </w:t>
      </w:r>
    </w:p>
    <w:p>
      <w:pPr>
        <w:pStyle w:val="TextBody"/>
        <w:spacing w:before="60" w:after="60"/>
        <w:rPr>
          <w:bdr w:val="single" w:sz="8" w:space="1" w:color="000000"/>
        </w:rPr>
      </w:pPr>
      <w:r>
        <w:rPr>
          <w:bdr w:val="single" w:sz="8" w:space="1" w:color="000000"/>
        </w:rPr>
        <w:t> </w:t>
      </w:r>
    </w:p>
    <w:p>
      <w:pPr>
        <w:pStyle w:val="TextBody"/>
        <w:rPr/>
      </w:pPr>
      <w:r>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br/>
        <w:t>Robin Yang, Partner</w:t>
        <w:br/>
        <w:t>ICR, LLC</w:t>
        <w:br/>
        <w:t>Email: Bitdeer.ir@icrinc.com</w:t>
        <w:br/>
        <w:t>Phone: +1 (212) 537-5825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sz w:val="20"/>
          <w:bdr w:val="single" w:sz="8" w:space="1" w:color="000000"/>
        </w:rPr>
      </w:pPr>
      <w:r>
        <w:rPr>
          <w:sz w:val="20"/>
          <w:bdr w:val="single" w:sz="8" w:space="1" w:color="000000"/>
        </w:rPr>
        <w:t>6</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2335</Words>
  <CharactersWithSpaces>15574</CharactersWithSpaces>
  <Paragraphs>1143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