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btdr-20221231x20f.htm"/>
        <w:bookmarkStart w:id="1" w:name="ksbtdr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color w:val="231F20"/>
        </w:rPr>
      </w:pPr>
      <w:bookmarkStart w:id="2" w:name="_bf5eacee_f3ed_4867_8ab1_1ec76f5a0c77"/>
      <w:bookmarkEnd w:id="2"/>
      <w:r>
        <w:rPr>
          <w:color w:val="231F20"/>
        </w:rPr>
        <w:t>​</w:t>
      </w:r>
    </w:p>
    <w:p>
      <w:pPr>
        <w:pStyle w:val="TextBody"/>
        <w:pBdr>
          <w:top w:val="single" w:sz="24" w:space="1" w:color="000000"/>
          <w:bottom w:val="single" w:sz="2" w:space="1" w:color="000000"/>
        </w:pBdr>
        <w:spacing w:before="0" w:after="240"/>
        <w:ind w:left="0" w:right="0" w:hanging="0"/>
        <w:jc w:val="center"/>
        <w:rPr>
          <w:color w:val="231F20"/>
        </w:rPr>
      </w:pPr>
      <w:r>
        <w:rPr>
          <w:color w:val="231F20"/>
        </w:rPr>
        <w:t>​</w:t>
      </w:r>
    </w:p>
    <w:p>
      <w:pPr>
        <w:pStyle w:val="TextBody"/>
        <w:spacing w:before="0" w:after="240"/>
        <w:ind w:left="0" w:right="0" w:hanging="0"/>
        <w:jc w:val="center"/>
        <w:rPr>
          <w:color w:val="231F20"/>
        </w:rPr>
      </w:pPr>
      <w:r>
        <w:rPr>
          <w:color w:val="231F20"/>
        </w:rPr>
        <w:t>​</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UNITED STATES</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SECURITIES AND EXCHANGE COMMISSION</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WASHINGTON, D.C. 20549</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FORM 20-F</w:t>
      </w:r>
    </w:p>
    <w:p>
      <w:pPr>
        <w:pStyle w:val="TextBody"/>
        <w:spacing w:before="0" w:after="240"/>
        <w:ind w:left="0" w:right="0" w:hanging="0"/>
        <w:jc w:val="center"/>
        <w:rPr>
          <w:color w:val="231F20"/>
        </w:rPr>
      </w:pPr>
      <w:r>
        <w:rPr>
          <w:color w:val="231F20"/>
        </w:rPr>
        <w:t>​</w:t>
      </w:r>
    </w:p>
    <w:p>
      <w:pPr>
        <w:pStyle w:val="TextBody"/>
        <w:spacing w:before="0" w:after="0"/>
        <w:ind w:left="0" w:right="0" w:hanging="0"/>
        <w:rPr>
          <w:rFonts w:ascii="Times New Roman;Times;serif" w:hAnsi="Times New Roman;Times;serif"/>
          <w:b/>
          <w:color w:val="231F20"/>
          <w:sz w:val="14"/>
        </w:rPr>
      </w:pPr>
      <w:r>
        <w:rPr>
          <w:rFonts w:ascii="Times New Roman;Times;serif" w:hAnsi="Times New Roman;Times;serif"/>
          <w:b/>
          <w:color w:val="231F20"/>
          <w:sz w:val="14"/>
        </w:rPr>
        <w:t>(Mark One)</w:t>
      </w:r>
    </w:p>
    <w:p>
      <w:pPr>
        <w:pStyle w:val="TextBody"/>
        <w:spacing w:before="0" w:after="0"/>
        <w:ind w:left="0" w:right="0" w:hanging="0"/>
        <w:rPr/>
      </w:pPr>
      <w:r>
        <w:rPr>
          <w:color w:val="231F20"/>
        </w:rPr>
        <w:t xml:space="preserve">☐ </w:t>
      </w:r>
      <w:r>
        <w:rPr>
          <w:rFonts w:ascii="Times New Roman;Times;serif" w:hAnsi="Times New Roman;Times;serif"/>
          <w:b/>
          <w:color w:val="231F20"/>
          <w:sz w:val="14"/>
        </w:rPr>
        <w:t>REGISTRATION STATEMENT PURSUANT TO SECTION 12(b) OR 12(g) OF THE SECURITIES EXCHANGE ACT OF 1934</w:t>
      </w:r>
    </w:p>
    <w:p>
      <w:pPr>
        <w:pStyle w:val="TextBody"/>
        <w:spacing w:before="0" w:after="240"/>
        <w:ind w:left="0" w:right="0" w:hanging="0"/>
        <w:jc w:val="center"/>
        <w:rPr>
          <w:color w:val="231F20"/>
        </w:rPr>
      </w:pPr>
      <w:r>
        <w:rPr>
          <w:color w:val="231F20"/>
        </w:rPr>
        <w:t>​</w:t>
      </w:r>
    </w:p>
    <w:p>
      <w:pPr>
        <w:pStyle w:val="TextBody"/>
        <w:spacing w:before="0" w:after="2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OR</w:t>
      </w:r>
    </w:p>
    <w:p>
      <w:pPr>
        <w:pStyle w:val="TextBody"/>
        <w:spacing w:before="0" w:after="240"/>
        <w:ind w:left="0" w:right="0" w:hanging="0"/>
        <w:jc w:val="center"/>
        <w:rPr>
          <w:color w:val="231F20"/>
        </w:rPr>
      </w:pPr>
      <w:r>
        <w:rPr>
          <w:color w:val="231F20"/>
        </w:rPr>
        <w:t>​</w:t>
      </w:r>
    </w:p>
    <w:p>
      <w:pPr>
        <w:pStyle w:val="TextBody"/>
        <w:spacing w:before="0" w:after="240"/>
        <w:ind w:left="0" w:right="0" w:hanging="0"/>
        <w:rPr/>
      </w:pPr>
      <w:r>
        <w:rPr>
          <w:color w:val="231F20"/>
        </w:rPr>
        <w:t xml:space="preserve">☒ </w:t>
      </w:r>
      <w:r>
        <w:rPr>
          <w:rFonts w:ascii="Times New Roman;Times;serif" w:hAnsi="Times New Roman;Times;serif"/>
          <w:b/>
          <w:color w:val="231F20"/>
          <w:sz w:val="14"/>
        </w:rPr>
        <w:t>ANNUAL REPORT PURSUANT TO SECTION 13 OR 15(d) OF THE SECURITIES EXCHANGE ACT OF 1934</w:t>
      </w:r>
    </w:p>
    <w:p>
      <w:pPr>
        <w:pStyle w:val="TextBody"/>
        <w:spacing w:before="0" w:after="2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For the fiscal year ended December 31, 2022</w:t>
      </w:r>
    </w:p>
    <w:p>
      <w:pPr>
        <w:pStyle w:val="TextBody"/>
        <w:spacing w:before="0" w:after="240"/>
        <w:ind w:left="0" w:right="0" w:hanging="0"/>
        <w:jc w:val="center"/>
        <w:rPr>
          <w:color w:val="231F20"/>
        </w:rPr>
      </w:pPr>
      <w:r>
        <w:rPr>
          <w:color w:val="231F20"/>
        </w:rPr>
        <w:t>​</w:t>
      </w:r>
    </w:p>
    <w:p>
      <w:pPr>
        <w:pStyle w:val="TextBody"/>
        <w:spacing w:before="0" w:after="2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OR</w:t>
      </w:r>
    </w:p>
    <w:p>
      <w:pPr>
        <w:pStyle w:val="TextBody"/>
        <w:spacing w:before="0" w:after="240"/>
        <w:ind w:left="0" w:right="0" w:hanging="0"/>
        <w:jc w:val="center"/>
        <w:rPr>
          <w:color w:val="231F20"/>
        </w:rPr>
      </w:pPr>
      <w:r>
        <w:rPr>
          <w:color w:val="231F20"/>
        </w:rPr>
        <w:t>​</w:t>
      </w:r>
    </w:p>
    <w:p>
      <w:pPr>
        <w:pStyle w:val="TextBody"/>
        <w:spacing w:before="0" w:after="20"/>
        <w:ind w:left="0" w:right="0" w:hanging="0"/>
        <w:rPr/>
      </w:pPr>
      <w:r>
        <w:rPr>
          <w:color w:val="231F20"/>
        </w:rPr>
        <w:t>☐</w:t>
      </w:r>
      <w:r>
        <w:rPr/>
        <w:t>    </w:t>
      </w:r>
      <w:r>
        <w:rPr>
          <w:rFonts w:ascii="Times New Roman;Times;serif" w:hAnsi="Times New Roman;Times;serif"/>
          <w:b/>
          <w:color w:val="231F20"/>
          <w:sz w:val="14"/>
        </w:rPr>
        <w:t>TRANSITION REPORT PURSUANT TO SECTION 13 OR 15(d) OF THE SECURITIES EXCHANGE ACT OF 1934</w:t>
      </w:r>
    </w:p>
    <w:p>
      <w:pPr>
        <w:pStyle w:val="TextBody"/>
        <w:spacing w:before="0" w:after="240"/>
        <w:ind w:left="0" w:right="0" w:hanging="0"/>
        <w:rPr>
          <w:color w:val="231F20"/>
        </w:rPr>
      </w:pPr>
      <w:r>
        <w:rPr>
          <w:color w:val="231F20"/>
        </w:rPr>
        <w:t>​</w:t>
      </w:r>
    </w:p>
    <w:p>
      <w:pPr>
        <w:pStyle w:val="TextBody"/>
        <w:spacing w:before="0" w:after="20"/>
        <w:ind w:left="0" w:right="0" w:hanging="0"/>
        <w:jc w:val="center"/>
        <w:rPr>
          <w:rFonts w:ascii="Times New Roman;Times;serif" w:hAnsi="Times New Roman;Times;serif"/>
          <w:sz w:val="14"/>
        </w:rPr>
      </w:pPr>
      <w:r>
        <w:rPr>
          <w:rFonts w:ascii="Times New Roman;Times;serif" w:hAnsi="Times New Roman;Times;serif"/>
          <w:b/>
          <w:color w:val="231F20"/>
          <w:sz w:val="14"/>
        </w:rPr>
        <w:t>For the transition period from</w:t>
      </w:r>
      <w:r>
        <w:rPr>
          <w:rFonts w:ascii="Times New Roman;Times;serif" w:hAnsi="Times New Roman;Times;serif"/>
          <w:color w:val="231F20"/>
          <w:sz w:val="14"/>
        </w:rPr>
        <w:t xml:space="preserve"> </w:t>
      </w:r>
      <w:r>
        <w:rPr>
          <w:rFonts w:ascii="Times New Roman;Times;serif" w:hAnsi="Times New Roman;Times;serif"/>
          <w:b/>
          <w:color w:val="231F20"/>
          <w:sz w:val="14"/>
        </w:rPr>
        <w:t>to</w:t>
      </w:r>
      <w:r>
        <w:rPr>
          <w:rFonts w:ascii="Times New Roman;Times;serif" w:hAnsi="Times New Roman;Times;serif"/>
          <w:color w:val="231F20"/>
          <w:sz w:val="14"/>
        </w:rPr>
        <w:t xml:space="preserve"> </w:t>
      </w:r>
    </w:p>
    <w:p>
      <w:pPr>
        <w:pStyle w:val="TextBody"/>
        <w:spacing w:before="0" w:after="240"/>
        <w:ind w:left="0" w:right="0" w:hanging="0"/>
        <w:jc w:val="center"/>
        <w:rPr>
          <w:color w:val="231F20"/>
        </w:rPr>
      </w:pPr>
      <w:r>
        <w:rPr>
          <w:color w:val="231F20"/>
        </w:rPr>
        <w:t>​</w:t>
      </w:r>
    </w:p>
    <w:p>
      <w:pPr>
        <w:pStyle w:val="TextBody"/>
        <w:spacing w:before="0" w:after="2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OR</w:t>
      </w:r>
    </w:p>
    <w:p>
      <w:pPr>
        <w:pStyle w:val="TextBody"/>
        <w:spacing w:before="0" w:after="240"/>
        <w:ind w:left="0" w:right="0" w:hanging="0"/>
        <w:jc w:val="center"/>
        <w:rPr>
          <w:color w:val="231F20"/>
        </w:rPr>
      </w:pPr>
      <w:r>
        <w:rPr>
          <w:color w:val="231F20"/>
        </w:rPr>
        <w:t>​</w:t>
      </w:r>
    </w:p>
    <w:p>
      <w:pPr>
        <w:pStyle w:val="TextBody"/>
        <w:spacing w:before="0" w:after="20"/>
        <w:ind w:left="0" w:right="0" w:hanging="0"/>
        <w:rPr/>
      </w:pPr>
      <w:r>
        <w:rPr>
          <w:color w:val="231F20"/>
        </w:rPr>
        <w:t>☐</w:t>
      </w:r>
      <w:r>
        <w:rPr/>
        <w:t>    </w:t>
      </w:r>
      <w:r>
        <w:rPr>
          <w:rFonts w:ascii="Times New Roman;Times;serif" w:hAnsi="Times New Roman;Times;serif"/>
          <w:b/>
          <w:color w:val="231F20"/>
          <w:sz w:val="14"/>
        </w:rPr>
        <w:t>SHELL COMPANY REPORT PURSUANT TO SECTION 13 OR 15(d) OF THE SECURITIES EXCHANGE ACT OF 1934</w:t>
      </w:r>
    </w:p>
    <w:p>
      <w:pPr>
        <w:pStyle w:val="TextBody"/>
        <w:spacing w:before="0" w:after="240"/>
        <w:ind w:left="0" w:right="0" w:hanging="0"/>
        <w:rPr>
          <w:color w:val="231F20"/>
        </w:rPr>
      </w:pPr>
      <w:r>
        <w:rPr>
          <w:color w:val="231F20"/>
        </w:rPr>
        <w:t>​</w:t>
      </w:r>
    </w:p>
    <w:p>
      <w:pPr>
        <w:pStyle w:val="TextBody"/>
        <w:spacing w:before="0" w:after="20"/>
        <w:ind w:left="0" w:right="0" w:hanging="0"/>
        <w:jc w:val="center"/>
        <w:rPr>
          <w:rFonts w:ascii="Times New Roman;Times;serif" w:hAnsi="Times New Roman;Times;serif"/>
          <w:sz w:val="14"/>
        </w:rPr>
      </w:pPr>
      <w:r>
        <w:rPr>
          <w:rFonts w:ascii="Times New Roman;Times;serif" w:hAnsi="Times New Roman;Times;serif"/>
          <w:b/>
          <w:color w:val="231F20"/>
          <w:sz w:val="14"/>
        </w:rPr>
        <w:t>Date of event requiring this shell company report</w:t>
      </w:r>
      <w:r>
        <w:rPr>
          <w:rFonts w:ascii="Times New Roman;Times;serif" w:hAnsi="Times New Roman;Times;serif"/>
          <w:color w:val="231F20"/>
          <w:sz w:val="14"/>
        </w:rPr>
        <w:t xml:space="preserve"> </w:t>
      </w:r>
    </w:p>
    <w:p>
      <w:pPr>
        <w:pStyle w:val="TextBody"/>
        <w:spacing w:before="0" w:after="240"/>
        <w:ind w:left="0" w:right="0" w:hanging="0"/>
        <w:jc w:val="center"/>
        <w:rPr>
          <w:color w:val="231F20"/>
        </w:rPr>
      </w:pPr>
      <w:r>
        <w:rPr>
          <w:color w:val="231F20"/>
        </w:rPr>
        <w:t>​</w:t>
      </w:r>
    </w:p>
    <w:p>
      <w:pPr>
        <w:pStyle w:val="TextBody"/>
        <w:spacing w:before="0" w:after="2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Commission File Number: 001-41687</w:t>
      </w:r>
    </w:p>
    <w:p>
      <w:pPr>
        <w:pStyle w:val="TextBody"/>
        <w:spacing w:before="0" w:after="240"/>
        <w:ind w:left="0" w:right="0" w:hanging="0"/>
        <w:rPr>
          <w:color w:val="231F20"/>
        </w:rPr>
      </w:pPr>
      <w:r>
        <w:rPr>
          <w:color w:val="231F20"/>
        </w:rPr>
        <w:t>​</w:t>
      </w:r>
    </w:p>
    <w:p>
      <w:pPr>
        <w:pStyle w:val="TextBody"/>
        <w:spacing w:before="0" w:after="0"/>
        <w:ind w:left="0" w:right="0" w:hanging="0"/>
        <w:jc w:val="center"/>
        <w:rPr>
          <w:rFonts w:ascii="Times New Roman;Times;serif" w:hAnsi="Times New Roman;Times;serif"/>
          <w:b/>
          <w:i w:val="false"/>
          <w:caps w:val="false"/>
          <w:smallCaps w:val="false"/>
          <w:color w:val="231F20"/>
          <w:sz w:val="14"/>
        </w:rPr>
      </w:pPr>
      <w:r>
        <w:rPr>
          <w:rFonts w:ascii="Times New Roman;Times;serif" w:hAnsi="Times New Roman;Times;serif"/>
          <w:b/>
          <w:i w:val="false"/>
          <w:caps w:val="false"/>
          <w:smallCaps w:val="false"/>
          <w:color w:val="231F20"/>
          <w:sz w:val="14"/>
        </w:rPr>
        <w:t>BITDEER TECHNOLOGIES GROUP</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(Exact name of Registrant as specified in its charter)</w:t>
      </w:r>
    </w:p>
    <w:p>
      <w:pPr>
        <w:pStyle w:val="TextBody"/>
        <w:spacing w:before="0" w:after="240"/>
        <w:ind w:left="0" w:right="0" w:hanging="0"/>
        <w:jc w:val="center"/>
        <w:rPr>
          <w:color w:val="231F20"/>
        </w:rPr>
      </w:pPr>
      <w:r>
        <w:rPr>
          <w:color w:val="231F20"/>
        </w:rPr>
        <w:t>​</w:t>
      </w:r>
    </w:p>
    <w:p>
      <w:pPr>
        <w:pStyle w:val="Normal"/>
        <w:spacing w:before="0" w:after="0"/>
        <w:rPr>
          <w:sz w:val="4"/>
          <w:szCs w:val="4"/>
        </w:rPr>
      </w:pPr>
      <w:r>
        <w:rPr>
          <w:sz w:val="4"/>
          <w:szCs w:val="4"/>
        </w:rPr>
      </w:r>
      <w:bookmarkStart w:id="3" w:name="Tc_VDMLMIQHu0-5M2aEqH8Ffw_2_1"/>
      <w:bookmarkStart w:id="4" w:name="Tc_SVAu03Dp3kG4qlPJ_TZHRw_2_0"/>
      <w:bookmarkStart w:id="5" w:name="Tc_ZI_cVmA6BE-bwAOr_twLWQ_1_0"/>
      <w:bookmarkStart w:id="6" w:name="_23d8fd88_b2f2_4252_9d9e_a6d7e6efb563"/>
      <w:bookmarkStart w:id="7" w:name="Tc_VDMLMIQHu0-5M2aEqH8Ffw_2_1"/>
      <w:bookmarkStart w:id="8" w:name="Tc_SVAu03Dp3kG4qlPJ_TZHRw_2_0"/>
      <w:bookmarkStart w:id="9" w:name="Tc_ZI_cVmA6BE-bwAOr_twLWQ_1_0"/>
      <w:bookmarkStart w:id="10" w:name="_23d8fd88_b2f2_4252_9d9e_a6d7e6efb563"/>
      <w:bookmarkEnd w:id="7"/>
      <w:bookmarkEnd w:id="8"/>
      <w:bookmarkEnd w:id="9"/>
      <w:bookmarkEnd w:id="10"/>
    </w:p>
    <w:tbl>
      <w:tblPr>
        <w:tblW w:w="5927" w:type="dxa"/>
        <w:jc w:val="left"/>
        <w:tblInd w:w="0" w:type="dxa"/>
        <w:tblCellMar>
          <w:top w:w="0" w:type="dxa"/>
          <w:left w:w="0" w:type="dxa"/>
          <w:bottom w:w="0" w:type="dxa"/>
          <w:right w:w="0" w:type="dxa"/>
        </w:tblCellMar>
      </w:tblPr>
      <w:tblGrid>
        <w:gridCol w:w="2956"/>
        <w:gridCol w:w="2971"/>
      </w:tblGrid>
      <w:tr>
        <w:trPr/>
        <w:tc>
          <w:tcPr>
            <w:tcW w:w="2956" w:type="dxa"/>
            <w:tcBorders/>
            <w:shd w:fill="auto" w:val="clear"/>
            <w:vAlign w:val="center"/>
          </w:tcPr>
          <w:p>
            <w:pPr>
              <w:pStyle w:val="TableContents"/>
              <w:spacing w:before="0" w:after="0"/>
              <w:ind w:left="0" w:right="0" w:hanging="0"/>
              <w:rPr/>
            </w:pPr>
            <w:r>
              <w:rPr/>
              <w:t>​</w:t>
            </w:r>
          </w:p>
        </w:tc>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86585" cy="175260"/>
                      <wp:effectExtent l="0" t="0" r="0" b="0"/>
                      <wp:wrapNone/>
                      <wp:docPr id="1" name="Frame1"/>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Not applicable</w:t>
            </w:r>
          </w:p>
        </w:tc>
        <w:tc>
          <w:tcPr>
            <w:tcW w:w="2971" w:type="dxa"/>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Cayman Islands</w:t>
            </w:r>
          </w:p>
        </w:tc>
      </w:tr>
      <w:tr>
        <w:trPr/>
        <w:tc>
          <w:tcPr>
            <w:tcW w:w="2956" w:type="dxa"/>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(Translation of Registrant’s name into English)</w:t>
            </w:r>
          </w:p>
        </w:tc>
        <w:tc>
          <w:tcPr>
            <w:tcW w:w="2971" w:type="dxa"/>
            <w:tcBorders/>
            <w:shd w:fill="auto" w:val="clear"/>
            <w:vAlign w:val="center"/>
          </w:tcPr>
          <w:p>
            <w:pPr>
              <w:pStyle w:val="TableContents"/>
              <w:pBdr/>
              <w:spacing w:before="0" w:after="0"/>
              <w:ind w:left="0" w:right="0" w:hanging="144"/>
              <w:jc w:val="center"/>
              <w:rPr>
                <w:rFonts w:ascii="Times New Roman;Times;serif" w:hAnsi="Times New Roman;Times;serif"/>
                <w:b/>
                <w:sz w:val="14"/>
              </w:rPr>
            </w:pPr>
            <w:r>
              <w:rPr>
                <w:rFonts w:ascii="Times New Roman;Times;serif" w:hAnsi="Times New Roman;Times;serif"/>
                <w:b/>
                <w:sz w:val="14"/>
              </w:rPr>
              <w:t>(Jurisdiction of incorporation or organization)</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color w:val="231F20"/>
          <w:sz w:val="14"/>
        </w:rPr>
        <w:t>08 Kallang Avenue</w:t>
      </w:r>
      <w:r>
        <w:rPr>
          <w:rFonts w:ascii="Times New Roman;Times;serif" w:hAnsi="Times New Roman;Times;serif"/>
          <w:color w:val="231F20"/>
          <w:sz w:val="20"/>
        </w:rPr>
        <w:t xml:space="preserve"> </w:t>
      </w:r>
      <w:r>
        <w:rPr>
          <w:rFonts w:ascii="Times New Roman;Times;serif" w:hAnsi="Times New Roman;Times;serif"/>
          <w:b/>
          <w:color w:val="231F20"/>
          <w:sz w:val="14"/>
        </w:rPr>
        <w:br/>
        <w:t>Aperia tower 1, #09-03/04</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color w:val="231F20"/>
          <w:sz w:val="14"/>
        </w:rPr>
        <w:t>Singapore</w:t>
      </w:r>
      <w:r>
        <w:rPr>
          <w:rFonts w:ascii="Times New Roman;Times;serif" w:hAnsi="Times New Roman;Times;serif"/>
          <w:color w:val="231F20"/>
          <w:sz w:val="20"/>
        </w:rPr>
        <w:t xml:space="preserve"> </w:t>
      </w:r>
      <w:r>
        <w:rPr>
          <w:rFonts w:ascii="Times New Roman;Times;serif" w:hAnsi="Times New Roman;Times;serif"/>
          <w:b/>
          <w:color w:val="231F20"/>
          <w:sz w:val="14"/>
        </w:rPr>
        <w:t>339509</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(Address of principal executive offices)</w:t>
      </w:r>
    </w:p>
    <w:p>
      <w:pPr>
        <w:pStyle w:val="TextBody"/>
        <w:spacing w:before="0" w:after="240"/>
        <w:ind w:left="0" w:right="0" w:hanging="0"/>
        <w:jc w:val="center"/>
        <w:rPr>
          <w:color w:val="231F20"/>
        </w:rPr>
      </w:pPr>
      <w:r>
        <w:rPr>
          <w:color w:val="231F20"/>
        </w:rPr>
        <w:t>​</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Linghui Kong</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Chief Executive Officer</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08 Kallang Avenue</w:t>
      </w:r>
    </w:p>
    <w:p>
      <w:pPr>
        <w:pStyle w:val="TextBody"/>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Aperia tower 1, #09-03/04</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color w:val="231F20"/>
          <w:sz w:val="14"/>
        </w:rPr>
        <w:t>Singapore</w:t>
      </w:r>
      <w:r>
        <w:rPr>
          <w:rFonts w:ascii="Times New Roman;Times;serif" w:hAnsi="Times New Roman;Times;serif"/>
          <w:color w:val="231F20"/>
          <w:sz w:val="20"/>
        </w:rPr>
        <w:t xml:space="preserve"> </w:t>
      </w:r>
      <w:r>
        <w:rPr>
          <w:rFonts w:ascii="Times New Roman;Times;serif" w:hAnsi="Times New Roman;Times;serif"/>
          <w:b/>
          <w:color w:val="231F20"/>
          <w:sz w:val="14"/>
        </w:rPr>
        <w:t>339509</w:t>
      </w:r>
    </w:p>
    <w:p>
      <w:pPr>
        <w:pStyle w:val="TextBody"/>
        <w:spacing w:before="0" w:after="40"/>
        <w:ind w:left="0" w:right="0" w:hanging="0"/>
        <w:jc w:val="center"/>
        <w:rPr>
          <w:rFonts w:ascii="Times New Roman;Times;serif" w:hAnsi="Times New Roman;Times;serif"/>
          <w:sz w:val="20"/>
        </w:rPr>
      </w:pPr>
      <w:r>
        <w:rPr>
          <w:rFonts w:ascii="Times New Roman;Times;serif" w:hAnsi="Times New Roman;Times;serif"/>
          <w:b/>
          <w:color w:val="231F20"/>
          <w:sz w:val="14"/>
        </w:rPr>
        <w:t>Telephone: +65</w:t>
      </w:r>
      <w:r>
        <w:rPr>
          <w:rFonts w:ascii="Times New Roman;Times;serif" w:hAnsi="Times New Roman;Times;serif"/>
          <w:color w:val="231F20"/>
          <w:sz w:val="20"/>
        </w:rPr>
        <w:t xml:space="preserve"> </w:t>
      </w:r>
      <w:r>
        <w:rPr>
          <w:rFonts w:ascii="Times New Roman;Times;serif" w:hAnsi="Times New Roman;Times;serif"/>
          <w:b/>
          <w:color w:val="231F20"/>
          <w:sz w:val="14"/>
        </w:rPr>
        <w:t>62828220</w:t>
      </w:r>
    </w:p>
    <w:p>
      <w:pPr>
        <w:pStyle w:val="TextBody"/>
        <w:spacing w:before="0" w:after="4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(Name, Telephone, Email and/or Facsimile number and Address of Company Contact Person)</w:t>
      </w:r>
    </w:p>
    <w:p>
      <w:pPr>
        <w:pStyle w:val="TextBody"/>
        <w:spacing w:before="0" w:after="240"/>
        <w:ind w:left="0" w:right="0" w:hanging="0"/>
        <w:jc w:val="center"/>
        <w:rPr>
          <w:color w:val="231F20"/>
        </w:rPr>
      </w:pPr>
      <w:r>
        <w:rPr>
          <w:color w:val="231F20"/>
        </w:rPr>
        <w:t>​</w:t>
      </w:r>
    </w:p>
    <w:p>
      <w:pPr>
        <w:pStyle w:val="TextBody"/>
        <w:spacing w:before="0" w:after="4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Securities registered or to be registered pursuant to Section 12(b) of the Act:</w:t>
      </w:r>
    </w:p>
    <w:p>
      <w:pPr>
        <w:pStyle w:val="TextBody"/>
        <w:spacing w:before="0" w:after="240"/>
        <w:ind w:left="0" w:right="0" w:hanging="0"/>
        <w:jc w:val="center"/>
        <w:rPr>
          <w:color w:val="231F20"/>
        </w:rPr>
      </w:pPr>
      <w:r>
        <w:rPr>
          <w:color w:val="231F20"/>
        </w:rPr>
        <w:t>​</w:t>
      </w:r>
    </w:p>
    <w:p>
      <w:pPr>
        <w:pStyle w:val="Normal"/>
        <w:spacing w:before="0" w:after="0"/>
        <w:rPr>
          <w:sz w:val="4"/>
          <w:szCs w:val="4"/>
        </w:rPr>
      </w:pPr>
      <w:r>
        <w:rPr>
          <w:sz w:val="4"/>
          <w:szCs w:val="4"/>
        </w:rPr>
      </w:r>
      <w:bookmarkStart w:id="11" w:name="Tc_xVcwGJ-sPUaJcMIY2obFBw_2_4"/>
      <w:bookmarkStart w:id="12" w:name="Tc_rm89FzPs_kOgJqTBQHK0mw_1_4"/>
      <w:bookmarkStart w:id="13" w:name="Tc_5QKb_M4oZ0yhyxySUW4X5Q_1_2"/>
      <w:bookmarkStart w:id="14" w:name="Tc__RzM8ECy6EaC3RYfBCtKcA_1_0"/>
      <w:bookmarkStart w:id="15" w:name="_6a65df38_fb19_4590_9161_0d80c11e9f07"/>
      <w:bookmarkStart w:id="16" w:name="Tc_xVcwGJ-sPUaJcMIY2obFBw_2_4"/>
      <w:bookmarkStart w:id="17" w:name="Tc_rm89FzPs_kOgJqTBQHK0mw_1_4"/>
      <w:bookmarkStart w:id="18" w:name="Tc_5QKb_M4oZ0yhyxySUW4X5Q_1_2"/>
      <w:bookmarkStart w:id="19" w:name="Tc__RzM8ECy6EaC3RYfBCtKcA_1_0"/>
      <w:bookmarkStart w:id="20" w:name="_6a65df38_fb19_4590_9161_0d80c11e9f07"/>
      <w:bookmarkEnd w:id="16"/>
      <w:bookmarkEnd w:id="17"/>
      <w:bookmarkEnd w:id="18"/>
      <w:bookmarkEnd w:id="19"/>
      <w:bookmarkEnd w:id="20"/>
    </w:p>
    <w:tbl>
      <w:tblPr>
        <w:tblW w:w="8755" w:type="dxa"/>
        <w:jc w:val="left"/>
        <w:tblInd w:w="0" w:type="dxa"/>
        <w:tblCellMar>
          <w:top w:w="0" w:type="dxa"/>
          <w:left w:w="0" w:type="dxa"/>
          <w:bottom w:w="0" w:type="dxa"/>
          <w:right w:w="0" w:type="dxa"/>
        </w:tblCellMar>
      </w:tblPr>
      <w:tblGrid>
        <w:gridCol w:w="3931"/>
        <w:gridCol w:w="326"/>
        <w:gridCol w:w="1561"/>
        <w:gridCol w:w="326"/>
        <w:gridCol w:w="2611"/>
      </w:tblGrid>
      <w:tr>
        <w:trPr/>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611" w:type="dxa"/>
            <w:tcBorders/>
            <w:shd w:fill="auto" w:val="clear"/>
            <w:vAlign w:val="center"/>
          </w:tcPr>
          <w:p>
            <w:pPr>
              <w:pStyle w:val="TableContents"/>
              <w:spacing w:before="0" w:after="283"/>
              <w:ind w:left="0" w:right="0" w:hanging="0"/>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shd w:fill="auto" w:val="clear"/>
            <w:vAlign w:val="center"/>
          </w:tcPr>
          <w:p>
            <w:pPr>
              <w:pStyle w:val="TableContents"/>
              <w:spacing w:before="0" w:after="0"/>
              <w:ind w:left="0" w:right="0" w:hanging="0"/>
              <w:jc w:val="center"/>
              <w:rPr/>
            </w:pPr>
            <w:r>
              <w:rPr/>
              <w:t>    </w:t>
            </w:r>
          </w:p>
        </w:tc>
        <w:tc>
          <w:tcPr>
            <w:tcW w:w="261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b/>
                <w:sz w:val="18"/>
              </w:rPr>
              <w:t>Name of exchange</w:t>
            </w:r>
            <w:r>
              <w:rPr>
                <w:rFonts w:ascii="Times New Roman;Times;serif" w:hAnsi="Times New Roman;Times;serif"/>
                <w:sz w:val="18"/>
              </w:rPr>
              <w:br/>
            </w:r>
            <w:r>
              <w:rPr>
                <w:rFonts w:ascii="Times New Roman;Times;serif" w:hAnsi="Times New Roman;Times;serif"/>
                <w:b/>
                <w:sz w:val="18"/>
              </w:rPr>
              <w:t>on which registered</w:t>
            </w:r>
          </w:p>
        </w:tc>
      </w:tr>
      <w:tr>
        <w:trPr/>
        <w:tc>
          <w:tcPr>
            <w:tcW w:w="393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ordinary shares, par value US$0.0000001</w:t>
            </w:r>
          </w:p>
        </w:tc>
        <w:tc>
          <w:tcPr>
            <w:tcW w:w="326" w:type="dxa"/>
            <w:tcBorders/>
            <w:shd w:fill="auto" w:val="clear"/>
            <w:vAlign w:val="center"/>
          </w:tcPr>
          <w:p>
            <w:pPr>
              <w:pStyle w:val="TableContents"/>
              <w:spacing w:before="0" w:after="240"/>
              <w:ind w:left="0" w:right="0" w:hanging="0"/>
              <w:jc w:val="center"/>
              <w:rPr/>
            </w:pPr>
            <w:r>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BTDR</w:t>
            </w:r>
          </w:p>
        </w:tc>
        <w:tc>
          <w:tcPr>
            <w:tcW w:w="326" w:type="dxa"/>
            <w:tcBorders/>
            <w:shd w:fill="auto" w:val="clear"/>
            <w:vAlign w:val="center"/>
          </w:tcPr>
          <w:p>
            <w:pPr>
              <w:pStyle w:val="TableContents"/>
              <w:spacing w:before="0" w:after="240"/>
              <w:ind w:left="0" w:right="0" w:hanging="0"/>
              <w:jc w:val="center"/>
              <w:rPr/>
            </w:pPr>
            <w:r>
              <w:rPr/>
              <w:t>​</w:t>
            </w:r>
          </w:p>
        </w:tc>
        <w:tc>
          <w:tcPr>
            <w:tcW w:w="26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Stock Market LLC</w:t>
            </w:r>
          </w:p>
        </w:tc>
      </w:tr>
    </w:tbl>
    <w:p>
      <w:pPr>
        <w:pStyle w:val="TextBody"/>
        <w:spacing w:before="0" w:after="0"/>
        <w:ind w:left="0" w:right="0" w:hanging="0"/>
        <w:rPr/>
      </w:pPr>
      <w:r>
        <w:rPr/>
        <w:t>​</w:t>
      </w:r>
    </w:p>
    <w:p>
      <w:pPr>
        <w:pStyle w:val="TextBody"/>
        <w:spacing w:before="0" w:after="16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12(g) of the Act: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spacing w:before="0" w:after="160"/>
        <w:ind w:left="0" w:right="0" w:hanging="0"/>
        <w:jc w:val="center"/>
        <w:rPr>
          <w:rFonts w:ascii="Times New Roman;Times;serif" w:hAnsi="Times New Roman;Times;serif"/>
          <w:b/>
          <w:sz w:val="18"/>
        </w:rPr>
      </w:pPr>
      <w:r>
        <w:rPr>
          <w:rFonts w:ascii="Times New Roman;Times;serif" w:hAnsi="Times New Roman;Times;serif"/>
          <w:b/>
          <w:sz w:val="18"/>
        </w:rPr>
        <w:t>(Title of Class)</w:t>
      </w:r>
    </w:p>
    <w:p>
      <w:pPr>
        <w:pStyle w:val="TextBody"/>
        <w:spacing w:before="0" w:after="160"/>
        <w:ind w:left="0" w:right="0" w:hanging="0"/>
        <w:jc w:val="center"/>
        <w:rPr>
          <w:rFonts w:ascii="Times New Roman;Times;serif" w:hAnsi="Times New Roman;Times;serif"/>
          <w:b/>
          <w:sz w:val="18"/>
        </w:rPr>
      </w:pPr>
      <w:r>
        <w:rPr>
          <w:rFonts w:ascii="Times New Roman;Times;serif" w:hAnsi="Times New Roman;Times;serif"/>
          <w:b/>
          <w:sz w:val="18"/>
        </w:rPr>
        <w:t>Securities for which there is a reporting obligation pursuant to Section 15(d) of the Act: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spacing w:before="0" w:after="160"/>
        <w:ind w:left="0" w:right="0" w:hanging="0"/>
        <w:jc w:val="center"/>
        <w:rPr>
          <w:rFonts w:ascii="Times New Roman;Times;serif" w:hAnsi="Times New Roman;Times;serif"/>
          <w:b/>
          <w:sz w:val="18"/>
        </w:rPr>
      </w:pPr>
      <w:r>
        <w:rPr>
          <w:rFonts w:ascii="Times New Roman;Times;serif" w:hAnsi="Times New Roman;Times;serif"/>
          <w:b/>
          <w:sz w:val="18"/>
        </w:rPr>
        <w:t>(Title of Class)</w:t>
      </w:r>
    </w:p>
    <w:p>
      <w:pPr>
        <w:pStyle w:val="TextBody"/>
        <w:spacing w:before="0" w:after="160"/>
        <w:ind w:left="0" w:right="0" w:hanging="0"/>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 1 outstanding ordinary share, as of December 31, 2022.</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18"/>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8"/>
        </w:rPr>
        <w:t>No</w:t>
      </w:r>
      <w:r>
        <w:rPr>
          <w:rFonts w:ascii="Times New Roman;Times;serif" w:hAnsi="Times New Roman;Times;serif"/>
          <w:sz w:val="20"/>
        </w:rPr>
        <w:t xml:space="preserve"> ☒</w:t>
      </w:r>
    </w:p>
    <w:p>
      <w:pPr>
        <w:pStyle w:val="TextBody"/>
        <w:spacing w:before="0" w:after="0"/>
        <w:ind w:left="0" w:right="0" w:hanging="0"/>
        <w:jc w:val="center"/>
        <w:rPr/>
      </w:pPr>
      <w:r>
        <w:rPr/>
        <w:t>​</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18"/>
        </w:rPr>
        <w:t xml:space="preserve">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xml:space="preserve">☐ </w:t>
      </w:r>
      <w:r>
        <w:rPr>
          <w:rFonts w:ascii="Times New Roman;Times;serif" w:hAnsi="Times New Roman;Times;serif"/>
          <w:sz w:val="18"/>
        </w:rPr>
        <w:t>No</w:t>
      </w:r>
      <w:r>
        <w:rPr>
          <w:rFonts w:ascii="Times New Roman;Times;serif" w:hAnsi="Times New Roman;Times;serif"/>
          <w:sz w:val="20"/>
        </w:rPr>
        <w:t xml:space="preserve"> ☒</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xml:space="preserve">☐ </w:t>
      </w:r>
      <w:r>
        <w:rPr>
          <w:rFonts w:ascii="Times New Roman;Times;serif" w:hAnsi="Times New Roman;Times;serif"/>
          <w:sz w:val="18"/>
        </w:rPr>
        <w:t>No</w:t>
      </w:r>
      <w:r>
        <w:rPr>
          <w:rFonts w:ascii="Times New Roman;Times;serif" w:hAnsi="Times New Roman;Times;serif"/>
          <w:sz w:val="20"/>
        </w:rPr>
        <w:t xml:space="preserve"> ☒</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160"/>
        <w:ind w:left="0" w:right="0" w:hanging="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Normal"/>
        <w:spacing w:before="0" w:after="0"/>
        <w:rPr>
          <w:sz w:val="4"/>
          <w:szCs w:val="4"/>
        </w:rPr>
      </w:pPr>
      <w:r>
        <w:rPr>
          <w:sz w:val="4"/>
          <w:szCs w:val="4"/>
        </w:rPr>
      </w:r>
      <w:bookmarkStart w:id="21" w:name="Tc_h7boGyyaP06o-kgqEFle-A_2_4"/>
      <w:bookmarkStart w:id="22" w:name="Tc_yjg_2bwgbU2nZxwNtBNE7Q_1_5"/>
      <w:bookmarkStart w:id="23" w:name="Tc_q5xmJt1hLU-jzx-q0jRaJw_1_3"/>
      <w:bookmarkStart w:id="24" w:name="Tc_6fewso3DyEOFrqszIx72MA_1_2"/>
      <w:bookmarkStart w:id="25" w:name="Tc_Fin2yuwEo0K7GYrFvF2j9g_1_1"/>
      <w:bookmarkStart w:id="26" w:name="Tc_s8NN-tS6W0G94xz64NLNfQ_1_0"/>
      <w:bookmarkStart w:id="27" w:name="_6156c160_87ef_40f9_a9e8_8e6775764907"/>
      <w:bookmarkStart w:id="28" w:name="Tc_h7boGyyaP06o-kgqEFle-A_2_4"/>
      <w:bookmarkStart w:id="29" w:name="Tc_yjg_2bwgbU2nZxwNtBNE7Q_1_5"/>
      <w:bookmarkStart w:id="30" w:name="Tc_q5xmJt1hLU-jzx-q0jRaJw_1_3"/>
      <w:bookmarkStart w:id="31" w:name="Tc_6fewso3DyEOFrqszIx72MA_1_2"/>
      <w:bookmarkStart w:id="32" w:name="Tc_Fin2yuwEo0K7GYrFvF2j9g_1_1"/>
      <w:bookmarkStart w:id="33" w:name="Tc_s8NN-tS6W0G94xz64NLNfQ_1_0"/>
      <w:bookmarkStart w:id="34" w:name="_6156c160_87ef_40f9_a9e8_8e6775764907"/>
      <w:bookmarkEnd w:id="28"/>
      <w:bookmarkEnd w:id="29"/>
      <w:bookmarkEnd w:id="30"/>
      <w:bookmarkEnd w:id="31"/>
      <w:bookmarkEnd w:id="32"/>
      <w:bookmarkEnd w:id="33"/>
      <w:bookmarkEnd w:id="34"/>
    </w:p>
    <w:tbl>
      <w:tblPr>
        <w:tblW w:w="5961" w:type="dxa"/>
        <w:jc w:val="left"/>
        <w:tblInd w:w="0" w:type="dxa"/>
        <w:tblCellMar>
          <w:top w:w="0" w:type="dxa"/>
          <w:left w:w="0" w:type="dxa"/>
          <w:bottom w:w="0" w:type="dxa"/>
          <w:right w:w="0" w:type="dxa"/>
        </w:tblCellMar>
      </w:tblPr>
      <w:tblGrid>
        <w:gridCol w:w="1666"/>
        <w:gridCol w:w="316"/>
        <w:gridCol w:w="1261"/>
        <w:gridCol w:w="316"/>
        <w:gridCol w:w="2041"/>
        <w:gridCol w:w="36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w:t>
            </w:r>
          </w:p>
        </w:tc>
        <w:tc>
          <w:tcPr>
            <w:tcW w:w="31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w:t>
            </w:r>
          </w:p>
        </w:tc>
        <w:tc>
          <w:tcPr>
            <w:tcW w:w="31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Non-accelerated filer</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40"/>
              <w:ind w:left="0" w:right="0" w:hanging="0"/>
              <w:rPr/>
            </w:pPr>
            <w:r>
              <w:rPr/>
              <w:t>​</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160"/>
        <w:ind w:left="0" w:right="0" w:hanging="0"/>
        <w:rPr/>
      </w:pPr>
      <w:r>
        <w:rPr/>
        <w:t>†</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160"/>
        <w:ind w:left="0" w:right="0" w:hanging="0"/>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160"/>
        <w:ind w:left="0" w:right="0" w:hanging="0"/>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spacing w:before="0" w:after="160"/>
        <w:ind w:left="0" w:right="0" w:hanging="0"/>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tbl>
      <w:tblPr>
        <w:tblW w:w="6381" w:type="dxa"/>
        <w:jc w:val="left"/>
        <w:tblInd w:w="0" w:type="dxa"/>
        <w:tblCellMar>
          <w:top w:w="0" w:type="dxa"/>
          <w:left w:w="0" w:type="dxa"/>
          <w:bottom w:w="0" w:type="dxa"/>
          <w:right w:w="0" w:type="dxa"/>
        </w:tblCellMar>
      </w:tblPr>
      <w:tblGrid>
        <w:gridCol w:w="1006"/>
        <w:gridCol w:w="316"/>
        <w:gridCol w:w="3871"/>
        <w:gridCol w:w="316"/>
        <w:gridCol w:w="511"/>
        <w:gridCol w:w="361"/>
      </w:tblGrid>
      <w:tr>
        <w:trPr/>
        <w:tc>
          <w:tcPr>
            <w:tcW w:w="100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387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0660" cy="29210"/>
                      <wp:effectExtent l="0" t="0" r="0" b="0"/>
                      <wp:wrapNone/>
                      <wp:docPr id="2" name="Frame2"/>
                      <a:graphic xmlns:a="http://schemas.openxmlformats.org/drawingml/2006/main">
                        <a:graphicData uri="http://schemas.microsoft.com/office/word/2010/wordprocessingShape">
                          <wps:wsp>
                            <wps:cNvSpPr txBox="1"/>
                            <wps:spPr>
                              <a:xfrm>
                                <a:off x="0" y="0"/>
                                <a:ext cx="200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10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U.S. GAAP</w:t>
            </w:r>
          </w:p>
        </w:tc>
        <w:tc>
          <w:tcPr>
            <w:tcW w:w="31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International Financial Reporting Standards</w:t>
            </w:r>
            <w:r>
              <w:rPr>
                <w:rFonts w:ascii="Times New Roman;Times;serif" w:hAnsi="Times New Roman;Times;serif"/>
                <w:sz w:val="20"/>
              </w:rPr>
              <w:t xml:space="preserve"> </w:t>
            </w:r>
            <w:r>
              <w:rPr>
                <w:rFonts w:ascii="Times New Roman;Times;serif" w:hAnsi="Times New Roman;Times;serif"/>
                <w:sz w:val="18"/>
              </w:rPr>
              <w:t>as issued</w:t>
              <w:br/>
              <w:t>by the International Accounting Standards Board</w:t>
            </w:r>
          </w:p>
        </w:tc>
        <w:tc>
          <w:tcPr>
            <w:tcW w:w="31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w:t>
            </w:r>
          </w:p>
        </w:tc>
        <w:tc>
          <w:tcPr>
            <w:tcW w:w="361"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 Item 17 ☐ Item 18 ☐</w:t>
      </w:r>
    </w:p>
    <w:p>
      <w:pPr>
        <w:pStyle w:val="TextBody"/>
        <w:spacing w:before="0" w:after="40"/>
        <w:ind w:left="0" w:right="0" w:firstLine="360"/>
        <w:jc w:val="both"/>
        <w:rPr>
          <w:rFonts w:ascii="Times New Roman;Times;serif" w:hAnsi="Times New Roman;Times;serif"/>
          <w:sz w:val="20"/>
        </w:rPr>
      </w:pPr>
      <w:r>
        <w:rPr>
          <w:rFonts w:ascii="Times New Roman;Times;serif" w:hAnsi="Times New Roman;Times;serif"/>
          <w:sz w:val="18"/>
        </w:rPr>
        <w:t xml:space="preserve">If this is an annual report, 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pBdr>
          <w:top w:val="single" w:sz="8" w:space="1" w:color="000000"/>
          <w:bottom w:val="single" w:sz="24" w:space="1" w:color="000000"/>
        </w:pBdr>
        <w:spacing w:before="0" w:after="240"/>
        <w:ind w:left="0" w:right="0" w:hanging="0"/>
        <w:jc w:val="both"/>
        <w:rPr/>
      </w:pPr>
      <w:r>
        <w:rPr/>
        <w:t>​</w:t>
      </w:r>
    </w:p>
    <w:p>
      <w:pPr>
        <w:pStyle w:val="TextBody"/>
        <w:spacing w:before="0" w:after="24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5" w:name="TOC"/>
      <w:bookmarkStart w:id="36" w:name="_fa98bd1e_9e2a_47e7_aa2e_7d1ac3784a95"/>
      <w:bookmarkEnd w:id="35"/>
      <w:bookmarkEnd w:id="36"/>
      <w:r>
        <w:rPr>
          <w:rFonts w:ascii="Times New Roman;Times;serif" w:hAnsi="Times New Roman;Times;serif"/>
          <w:b/>
          <w:sz w:val="20"/>
        </w:rPr>
        <w:t>TABLE OF CONTENTS</w:t>
      </w:r>
    </w:p>
    <w:tbl>
      <w:tblPr>
        <w:tblW w:w="9902" w:type="dxa"/>
        <w:jc w:val="left"/>
        <w:tblInd w:w="0" w:type="dxa"/>
        <w:tblCellMar>
          <w:top w:w="0" w:type="dxa"/>
          <w:left w:w="0" w:type="dxa"/>
          <w:bottom w:w="0" w:type="dxa"/>
          <w:right w:w="0" w:type="dxa"/>
        </w:tblCellMar>
      </w:tblPr>
      <w:tblGrid>
        <w:gridCol w:w="9331"/>
        <w:gridCol w:w="571"/>
      </w:tblGrid>
      <w:tr>
        <w:trPr/>
        <w:tc>
          <w:tcPr>
            <w:tcW w:w="9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25185" cy="175260"/>
                      <wp:effectExtent l="0" t="0" r="0" b="0"/>
                      <wp:wrapNone/>
                      <wp:docPr id="3" name="Frame3"/>
                      <a:graphic xmlns:a="http://schemas.openxmlformats.org/drawingml/2006/main">
                        <a:graphicData uri="http://schemas.microsoft.com/office/word/2010/wordprocessingShape">
                          <wps:wsp>
                            <wps:cNvSpPr txBox="1"/>
                            <wps:spPr>
                              <a:xfrm>
                                <a:off x="0" y="0"/>
                                <a:ext cx="5925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29210"/>
                      <wp:effectExtent l="0" t="0" r="0" b="0"/>
                      <wp:wrapNone/>
                      <wp:docPr id="4" name="Frame4"/>
                      <a:graphic xmlns:a="http://schemas.openxmlformats.org/drawingml/2006/main">
                        <a:graphicData uri="http://schemas.microsoft.com/office/word/2010/wordprocessingShape">
                          <wps:wsp>
                            <wps:cNvSpPr txBox="1"/>
                            <wps:spPr>
                              <a:xfrm>
                                <a:off x="0" y="0"/>
                                <a:ext cx="3625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331"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31" w:type="dxa"/>
            <w:tcBorders/>
            <w:shd w:fill="auto" w:val="clear"/>
            <w:vAlign w:val="center"/>
          </w:tcPr>
          <w:p>
            <w:pPr>
              <w:pStyle w:val="TableContents"/>
              <w:pBdr/>
              <w:spacing w:before="0" w:after="0"/>
              <w:ind w:left="0" w:right="0" w:hanging="0"/>
              <w:rPr/>
            </w:pPr>
            <w:hyperlink w:anchor="EXPLANATORYNOTE_120098">
              <w:r>
                <w:rPr>
                  <w:rStyle w:val="InternetLink"/>
                  <w:rFonts w:ascii="Times New Roman;Times;serif" w:hAnsi="Times New Roman;Times;serif"/>
                  <w:b w:val="false"/>
                  <w:i w:val="false"/>
                  <w:caps w:val="false"/>
                  <w:smallCaps w:val="false"/>
                  <w:sz w:val="20"/>
                </w:rPr>
                <w:t>EXPLANATORY NOTE</w:t>
              </w:r>
            </w:hyperlink>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331" w:type="dxa"/>
            <w:tcBorders/>
            <w:shd w:fill="auto" w:val="clear"/>
            <w:vAlign w:val="center"/>
          </w:tcPr>
          <w:p>
            <w:pPr>
              <w:pStyle w:val="TableContents"/>
              <w:pBdr/>
              <w:spacing w:before="0" w:after="0"/>
              <w:ind w:left="0" w:right="0" w:hanging="0"/>
              <w:rPr/>
            </w:pPr>
            <w:hyperlink w:anchor="INTRODUCTION_509772">
              <w:r>
                <w:rPr>
                  <w:rStyle w:val="InternetLink"/>
                  <w:rFonts w:ascii="Times New Roman;Times;serif" w:hAnsi="Times New Roman;Times;serif"/>
                  <w:b w:val="false"/>
                  <w:i w:val="false"/>
                  <w:caps w:val="false"/>
                  <w:smallCaps w:val="false"/>
                  <w:sz w:val="20"/>
                </w:rPr>
                <w:t>INTRODUCTION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shd w:fill="auto" w:val="clear"/>
            <w:vAlign w:val="center"/>
          </w:tcPr>
          <w:p>
            <w:pPr>
              <w:pStyle w:val="TableContents"/>
              <w:pBdr/>
              <w:spacing w:before="0" w:after="0"/>
              <w:ind w:left="0" w:right="0" w:hanging="0"/>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31" w:type="dxa"/>
            <w:tcBorders/>
            <w:shd w:fill="auto" w:val="clear"/>
            <w:vAlign w:val="center"/>
          </w:tcPr>
          <w:p>
            <w:pPr>
              <w:pStyle w:val="TableContents"/>
              <w:pBdr/>
              <w:spacing w:before="0" w:after="0"/>
              <w:ind w:left="0" w:right="0" w:hanging="0"/>
              <w:rPr/>
            </w:pPr>
            <w:hyperlink w:anchor="PARTI_923763">
              <w:r>
                <w:rPr>
                  <w:rStyle w:val="InternetLink"/>
                  <w:rFonts w:ascii="Times New Roman;Times;serif" w:hAnsi="Times New Roman;Times;serif"/>
                  <w:b w:val="false"/>
                  <w:i w:val="false"/>
                  <w:caps w:val="false"/>
                  <w:smallCaps w:val="false"/>
                  <w:sz w:val="20"/>
                </w:rPr>
                <w:t>PART I</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1" w:type="dxa"/>
            <w:tcBorders/>
            <w:shd w:fill="auto" w:val="clear"/>
            <w:vAlign w:val="center"/>
          </w:tcPr>
          <w:p>
            <w:pPr>
              <w:pStyle w:val="TableContents"/>
              <w:pBdr/>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1" w:type="dxa"/>
            <w:tcBorders/>
            <w:shd w:fill="auto" w:val="clear"/>
            <w:vAlign w:val="center"/>
          </w:tcPr>
          <w:p>
            <w:pPr>
              <w:pStyle w:val="TableContents"/>
              <w:pBdr/>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1" w:type="dxa"/>
            <w:tcBorders/>
            <w:shd w:fill="auto" w:val="clear"/>
            <w:vAlign w:val="center"/>
          </w:tcPr>
          <w:p>
            <w:pPr>
              <w:pStyle w:val="TableContents"/>
              <w:pBdr/>
              <w:spacing w:before="0" w:after="0"/>
              <w:ind w:left="0" w:right="0" w:hanging="0"/>
              <w:rPr/>
            </w:pPr>
            <w:hyperlink w:anchor="ITEM3KEYINFORMATION_833857">
              <w:r>
                <w:rPr>
                  <w:rStyle w:val="InternetLink"/>
                  <w:rFonts w:ascii="Times New Roman;Times;serif" w:hAnsi="Times New Roman;Times;serif"/>
                  <w:b w:val="false"/>
                  <w:i w:val="false"/>
                  <w:caps w:val="false"/>
                  <w:smallCaps w:val="false"/>
                  <w:sz w:val="20"/>
                </w:rPr>
                <w:t>ITEM 3. KEY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1" w:type="dxa"/>
            <w:tcBorders/>
            <w:shd w:fill="auto" w:val="clear"/>
            <w:vAlign w:val="center"/>
          </w:tcPr>
          <w:p>
            <w:pPr>
              <w:pStyle w:val="TableContents"/>
              <w:pBdr/>
              <w:spacing w:before="0" w:after="0"/>
              <w:ind w:left="0" w:right="0" w:hanging="0"/>
              <w:rPr/>
            </w:pPr>
            <w:hyperlink w:anchor="ITEM4INFORMATIONONTHECOMPANY_963827">
              <w:r>
                <w:rPr>
                  <w:rStyle w:val="InternetLink"/>
                  <w:rFonts w:ascii="Times New Roman;Times;serif" w:hAnsi="Times New Roman;Times;serif"/>
                  <w:b w:val="false"/>
                  <w:i w:val="false"/>
                  <w:caps w:val="false"/>
                  <w:smallCaps w:val="false"/>
                  <w:sz w:val="20"/>
                </w:rPr>
                <w:t>ITEM 4. INFORMATION ON THE COMPANY</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331" w:type="dxa"/>
            <w:tcBorders/>
            <w:shd w:fill="auto" w:val="clear"/>
            <w:vAlign w:val="center"/>
          </w:tcPr>
          <w:p>
            <w:pPr>
              <w:pStyle w:val="TableContents"/>
              <w:pBdr/>
              <w:spacing w:before="0" w:after="0"/>
              <w:ind w:left="0" w:right="0" w:hanging="0"/>
              <w:rPr/>
            </w:pPr>
            <w:hyperlink w:anchor="ITEM4AUNRESOLVEDSTAFFCOMMENTS_411903">
              <w:r>
                <w:rPr>
                  <w:rStyle w:val="InternetLink"/>
                  <w:rFonts w:ascii="Times New Roman;Times;serif" w:hAnsi="Times New Roman;Times;serif"/>
                  <w:b w:val="false"/>
                  <w:i w:val="false"/>
                  <w:caps w:val="false"/>
                  <w:smallCaps w:val="false"/>
                  <w:sz w:val="20"/>
                </w:rPr>
                <w:t>ITEM 4A. UNRESOLVED STAFF COMMENTS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9331" w:type="dxa"/>
            <w:tcBorders/>
            <w:shd w:fill="auto" w:val="clear"/>
            <w:vAlign w:val="center"/>
          </w:tcPr>
          <w:p>
            <w:pPr>
              <w:pStyle w:val="TableContents"/>
              <w:pBdr/>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9331" w:type="dxa"/>
            <w:tcBorders/>
            <w:shd w:fill="auto" w:val="clear"/>
            <w:vAlign w:val="center"/>
          </w:tcPr>
          <w:p>
            <w:pPr>
              <w:pStyle w:val="TableContents"/>
              <w:pBdr/>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9331" w:type="dxa"/>
            <w:tcBorders/>
            <w:shd w:fill="auto" w:val="clear"/>
            <w:vAlign w:val="center"/>
          </w:tcPr>
          <w:p>
            <w:pPr>
              <w:pStyle w:val="TableContents"/>
              <w:pBdr/>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shd w:fill="auto" w:val="clear"/>
            <w:vAlign w:val="center"/>
          </w:tcPr>
          <w:p>
            <w:pPr>
              <w:pStyle w:val="TableContents"/>
              <w:pBdr/>
              <w:spacing w:before="0" w:after="0"/>
              <w:ind w:left="0" w:right="0" w:hanging="0"/>
              <w:rPr/>
            </w:pPr>
            <w:hyperlink w:anchor="ITEM8FINANCIALINFORMATION_621992">
              <w:r>
                <w:rPr>
                  <w:rStyle w:val="InternetLink"/>
                  <w:rFonts w:ascii="Times New Roman;Times;serif" w:hAnsi="Times New Roman;Times;serif"/>
                  <w:b w:val="false"/>
                  <w:i w:val="false"/>
                  <w:caps w:val="false"/>
                  <w:smallCaps w:val="false"/>
                  <w:sz w:val="20"/>
                </w:rPr>
                <w:t>ITEM 8. FINANCIAL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331" w:type="dxa"/>
            <w:tcBorders/>
            <w:shd w:fill="auto" w:val="clear"/>
            <w:vAlign w:val="center"/>
          </w:tcPr>
          <w:p>
            <w:pPr>
              <w:pStyle w:val="TableContents"/>
              <w:pBdr/>
              <w:spacing w:before="0" w:after="0"/>
              <w:ind w:left="0" w:right="0" w:hanging="0"/>
              <w:rPr/>
            </w:pPr>
            <w:hyperlink w:anchor="ITEM9THEOFFERANDLISTING_719590">
              <w:r>
                <w:rPr>
                  <w:rStyle w:val="InternetLink"/>
                  <w:rFonts w:ascii="Times New Roman;Times;serif" w:hAnsi="Times New Roman;Times;serif"/>
                  <w:b w:val="false"/>
                  <w:i w:val="false"/>
                  <w:caps w:val="false"/>
                  <w:smallCaps w:val="false"/>
                  <w:sz w:val="20"/>
                </w:rPr>
                <w:t>ITEM 9. THE OFFER AND LISTING</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331" w:type="dxa"/>
            <w:tcBorders/>
            <w:shd w:fill="auto" w:val="clear"/>
            <w:vAlign w:val="center"/>
          </w:tcPr>
          <w:p>
            <w:pPr>
              <w:pStyle w:val="TableContents"/>
              <w:pBdr/>
              <w:spacing w:before="0" w:after="0"/>
              <w:ind w:left="0" w:right="0" w:hanging="0"/>
              <w:rPr/>
            </w:pPr>
            <w:hyperlink w:anchor="ITEM10ADDITIONALINFORMATION_409478">
              <w:r>
                <w:rPr>
                  <w:rStyle w:val="InternetLink"/>
                  <w:rFonts w:ascii="Times New Roman;Times;serif" w:hAnsi="Times New Roman;Times;serif"/>
                  <w:b w:val="false"/>
                  <w:i w:val="false"/>
                  <w:caps w:val="false"/>
                  <w:smallCaps w:val="false"/>
                  <w:sz w:val="20"/>
                </w:rPr>
                <w:t>ITEM 10. ADDITIONAL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shd w:fill="auto" w:val="clear"/>
            <w:vAlign w:val="center"/>
          </w:tcPr>
          <w:p>
            <w:pPr>
              <w:pStyle w:val="TableContents"/>
              <w:pBdr/>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331" w:type="dxa"/>
            <w:tcBorders/>
            <w:shd w:fill="auto" w:val="clear"/>
            <w:vAlign w:val="center"/>
          </w:tcPr>
          <w:p>
            <w:pPr>
              <w:pStyle w:val="TableContents"/>
              <w:pBdr/>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9331" w:type="dxa"/>
            <w:tcBorders/>
            <w:shd w:fill="auto" w:val="clear"/>
            <w:vAlign w:val="center"/>
          </w:tcPr>
          <w:p>
            <w:pPr>
              <w:pStyle w:val="TableContents"/>
              <w:pBdr/>
              <w:spacing w:before="0" w:after="0"/>
              <w:ind w:left="0" w:right="0" w:hanging="0"/>
              <w:rPr/>
            </w:pPr>
            <w:hyperlink w:anchor="PARTII_964113">
              <w:r>
                <w:rPr>
                  <w:rStyle w:val="InternetLink"/>
                  <w:rFonts w:ascii="Times New Roman;Times;serif" w:hAnsi="Times New Roman;Times;serif"/>
                  <w:b w:val="false"/>
                  <w:i w:val="false"/>
                  <w:caps w:val="false"/>
                  <w:smallCaps w:val="false"/>
                  <w:sz w:val="20"/>
                </w:rPr>
                <w:t>PART II</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331" w:type="dxa"/>
            <w:tcBorders/>
            <w:shd w:fill="auto" w:val="clear"/>
            <w:vAlign w:val="center"/>
          </w:tcPr>
          <w:p>
            <w:pPr>
              <w:pStyle w:val="TableContents"/>
              <w:pBdr/>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331" w:type="dxa"/>
            <w:tcBorders/>
            <w:shd w:fill="auto" w:val="clear"/>
            <w:vAlign w:val="center"/>
          </w:tcPr>
          <w:p>
            <w:pPr>
              <w:pStyle w:val="TableContents"/>
              <w:pBdr/>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331" w:type="dxa"/>
            <w:tcBorders/>
            <w:shd w:fill="auto" w:val="clear"/>
            <w:vAlign w:val="center"/>
          </w:tcPr>
          <w:p>
            <w:pPr>
              <w:pStyle w:val="TableContents"/>
              <w:pBdr/>
              <w:spacing w:before="0" w:after="0"/>
              <w:ind w:left="0" w:right="0" w:hanging="0"/>
              <w:rPr/>
            </w:pPr>
            <w:hyperlink w:anchor="ITEM15CONTROLSANDPROCEDURESNoteCoandMBto">
              <w:r>
                <w:rPr>
                  <w:rStyle w:val="InternetLink"/>
                  <w:rFonts w:ascii="Times New Roman;Times;serif" w:hAnsi="Times New Roman;Times;serif"/>
                  <w:b w:val="false"/>
                  <w:i w:val="false"/>
                  <w:caps w:val="false"/>
                  <w:smallCaps w:val="false"/>
                  <w:sz w:val="20"/>
                </w:rPr>
                <w:t>ITEM 15. CONTROLS AND PROCEDURES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331" w:type="dxa"/>
            <w:tcBorders/>
            <w:shd w:fill="auto" w:val="clear"/>
            <w:vAlign w:val="center"/>
          </w:tcPr>
          <w:p>
            <w:pPr>
              <w:pStyle w:val="TableContents"/>
              <w:pBdr/>
              <w:spacing w:before="0" w:after="0"/>
              <w:ind w:left="0" w:right="0" w:hanging="0"/>
              <w:rPr/>
            </w:pPr>
            <w:hyperlink w:anchor="ITEM16RESERVED_482464">
              <w:r>
                <w:rPr>
                  <w:rStyle w:val="InternetLink"/>
                  <w:rFonts w:ascii="Times New Roman;Times;serif" w:hAnsi="Times New Roman;Times;serif"/>
                  <w:b w:val="false"/>
                  <w:i w:val="false"/>
                  <w:caps w:val="false"/>
                  <w:smallCaps w:val="false"/>
                  <w:sz w:val="20"/>
                </w:rPr>
                <w:t>ITEM 16. [RESERVED]</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331" w:type="dxa"/>
            <w:tcBorders/>
            <w:shd w:fill="auto" w:val="clear"/>
            <w:vAlign w:val="center"/>
          </w:tcPr>
          <w:p>
            <w:pPr>
              <w:pStyle w:val="TableContents"/>
              <w:pBdr/>
              <w:spacing w:before="0" w:after="0"/>
              <w:ind w:left="0" w:right="0" w:hanging="0"/>
              <w:rPr/>
            </w:pPr>
            <w:hyperlink w:anchor="ITEM16AAUDITCOMMITTEEANDFINANCIALEXPERT_">
              <w:r>
                <w:rPr>
                  <w:rStyle w:val="InternetLink"/>
                  <w:rFonts w:ascii="Times New Roman;Times;serif" w:hAnsi="Times New Roman;Times;serif"/>
                  <w:b w:val="false"/>
                  <w:i w:val="false"/>
                  <w:caps w:val="false"/>
                  <w:smallCaps w:val="false"/>
                  <w:sz w:val="20"/>
                </w:rPr>
                <w:t>ITEM 16A. AUDIT COMMITTEE FINANCIAL EXPERT</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331" w:type="dxa"/>
            <w:tcBorders/>
            <w:shd w:fill="auto" w:val="clear"/>
            <w:vAlign w:val="center"/>
          </w:tcPr>
          <w:p>
            <w:pPr>
              <w:pStyle w:val="TableContents"/>
              <w:pBdr/>
              <w:spacing w:before="0" w:after="0"/>
              <w:ind w:left="0" w:right="0" w:hanging="0"/>
              <w:rPr/>
            </w:pPr>
            <w:hyperlink w:anchor="ITEM16BCODEOFETHICS_438559">
              <w:r>
                <w:rPr>
                  <w:rStyle w:val="InternetLink"/>
                  <w:rFonts w:ascii="Times New Roman;Times;serif" w:hAnsi="Times New Roman;Times;serif"/>
                  <w:b w:val="false"/>
                  <w:i w:val="false"/>
                  <w:caps w:val="false"/>
                  <w:smallCaps w:val="false"/>
                  <w:sz w:val="20"/>
                </w:rPr>
                <w:t>ITEM 16B. CODE OF ETHICS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331" w:type="dxa"/>
            <w:tcBorders/>
            <w:shd w:fill="auto" w:val="clear"/>
            <w:vAlign w:val="center"/>
          </w:tcPr>
          <w:p>
            <w:pPr>
              <w:pStyle w:val="TableContents"/>
              <w:pBdr/>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ITEM 16C. PRINCIPAL ACCOUNTANT FEES AND SERVICES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331" w:type="dxa"/>
            <w:tcBorders/>
            <w:shd w:fill="auto" w:val="clear"/>
            <w:vAlign w:val="center"/>
          </w:tcPr>
          <w:p>
            <w:pPr>
              <w:pStyle w:val="TableContents"/>
              <w:pBdr/>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331" w:type="dxa"/>
            <w:tcBorders/>
            <w:shd w:fill="auto" w:val="clear"/>
            <w:vAlign w:val="center"/>
          </w:tcPr>
          <w:p>
            <w:pPr>
              <w:pStyle w:val="TableContents"/>
              <w:pBdr/>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331" w:type="dxa"/>
            <w:tcBorders/>
            <w:shd w:fill="auto" w:val="clear"/>
            <w:vAlign w:val="center"/>
          </w:tcPr>
          <w:p>
            <w:pPr>
              <w:pStyle w:val="TableContents"/>
              <w:pBdr/>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331" w:type="dxa"/>
            <w:tcBorders/>
            <w:shd w:fill="auto" w:val="clear"/>
            <w:vAlign w:val="center"/>
          </w:tcPr>
          <w:p>
            <w:pPr>
              <w:pStyle w:val="TableContents"/>
              <w:pBdr/>
              <w:spacing w:before="0" w:after="0"/>
              <w:ind w:left="0" w:right="0" w:hanging="0"/>
              <w:rPr/>
            </w:pPr>
            <w:hyperlink w:anchor="ITEM16GCORPORATEGOVERNANCE_206810">
              <w:r>
                <w:rPr>
                  <w:rStyle w:val="InternetLink"/>
                  <w:rFonts w:ascii="Times New Roman;Times;serif" w:hAnsi="Times New Roman;Times;serif"/>
                  <w:b w:val="false"/>
                  <w:i w:val="false"/>
                  <w:caps w:val="false"/>
                  <w:smallCaps w:val="false"/>
                  <w:sz w:val="20"/>
                </w:rPr>
                <w:t>ITEM 16G. CORPORATE GOVERNANCE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331" w:type="dxa"/>
            <w:tcBorders/>
            <w:shd w:fill="auto" w:val="clear"/>
            <w:vAlign w:val="center"/>
          </w:tcPr>
          <w:p>
            <w:pPr>
              <w:pStyle w:val="TableContents"/>
              <w:pBdr/>
              <w:spacing w:before="0" w:after="0"/>
              <w:ind w:left="0" w:right="0" w:hanging="0"/>
              <w:rPr/>
            </w:pPr>
            <w:hyperlink w:anchor="ITEM16HMINESAFETYDISCLOSURE_256793">
              <w:r>
                <w:rPr>
                  <w:rStyle w:val="InternetLink"/>
                  <w:rFonts w:ascii="Times New Roman;Times;serif" w:hAnsi="Times New Roman;Times;serif"/>
                  <w:b w:val="false"/>
                  <w:i w:val="false"/>
                  <w:caps w:val="false"/>
                  <w:smallCaps w:val="false"/>
                  <w:sz w:val="20"/>
                </w:rPr>
                <w:t>ITEM 16H. MINE SAFETY DISCLOSURE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331" w:type="dxa"/>
            <w:tcBorders/>
            <w:shd w:fill="auto" w:val="clear"/>
            <w:vAlign w:val="center"/>
          </w:tcPr>
          <w:p>
            <w:pPr>
              <w:pStyle w:val="TableContents"/>
              <w:pBdr/>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331" w:type="dxa"/>
            <w:tcBorders/>
            <w:shd w:fill="auto" w:val="clear"/>
            <w:vAlign w:val="center"/>
          </w:tcPr>
          <w:p>
            <w:pPr>
              <w:pStyle w:val="TableContents"/>
              <w:pBdr/>
              <w:spacing w:before="0" w:after="0"/>
              <w:ind w:left="0" w:right="0" w:hanging="0"/>
              <w:rPr/>
            </w:pPr>
            <w:hyperlink w:anchor="PARTIII_678670">
              <w:r>
                <w:rPr>
                  <w:rStyle w:val="InternetLink"/>
                  <w:rFonts w:ascii="Times New Roman;Times;serif" w:hAnsi="Times New Roman;Times;serif"/>
                  <w:b w:val="false"/>
                  <w:i w:val="false"/>
                  <w:caps w:val="false"/>
                  <w:smallCaps w:val="false"/>
                  <w:sz w:val="20"/>
                </w:rPr>
                <w:t>PART III</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9331" w:type="dxa"/>
            <w:tcBorders/>
            <w:shd w:fill="auto" w:val="clear"/>
            <w:vAlign w:val="center"/>
          </w:tcPr>
          <w:p>
            <w:pPr>
              <w:pStyle w:val="TableContents"/>
              <w:pBdr/>
              <w:spacing w:before="0" w:after="0"/>
              <w:ind w:left="0" w:right="0" w:hanging="0"/>
              <w:rPr/>
            </w:pPr>
            <w:hyperlink w:anchor="ITEM17FINANCIALSTATEMENTS_692287">
              <w:r>
                <w:rPr>
                  <w:rStyle w:val="InternetLink"/>
                  <w:rFonts w:ascii="Times New Roman;Times;serif" w:hAnsi="Times New Roman;Times;serif"/>
                  <w:b w:val="false"/>
                  <w:i w:val="false"/>
                  <w:caps w:val="false"/>
                  <w:smallCaps w:val="false"/>
                  <w:sz w:val="20"/>
                </w:rPr>
                <w:t>ITEM 17. 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9331" w:type="dxa"/>
            <w:tcBorders/>
            <w:shd w:fill="auto" w:val="clear"/>
            <w:vAlign w:val="center"/>
          </w:tcPr>
          <w:p>
            <w:pPr>
              <w:pStyle w:val="TableContents"/>
              <w:pBdr/>
              <w:spacing w:before="0" w:after="0"/>
              <w:ind w:left="0" w:right="0" w:hanging="0"/>
              <w:rPr/>
            </w:pPr>
            <w:hyperlink w:anchor="ITEM18FINANCIALSTATEMENTS_329642">
              <w:r>
                <w:rPr>
                  <w:rStyle w:val="InternetLink"/>
                  <w:rFonts w:ascii="Times New Roman;Times;serif" w:hAnsi="Times New Roman;Times;serif"/>
                  <w:b w:val="false"/>
                  <w:i w:val="false"/>
                  <w:caps w:val="false"/>
                  <w:smallCaps w:val="false"/>
                  <w:sz w:val="20"/>
                </w:rPr>
                <w:t>ITEM 18. 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9331" w:type="dxa"/>
            <w:tcBorders/>
            <w:shd w:fill="auto" w:val="clear"/>
            <w:vAlign w:val="center"/>
          </w:tcPr>
          <w:p>
            <w:pPr>
              <w:pStyle w:val="TableContents"/>
              <w:pBdr/>
              <w:spacing w:before="0" w:after="0"/>
              <w:ind w:left="0" w:right="0" w:hanging="0"/>
              <w:rPr/>
            </w:pPr>
            <w:hyperlink w:anchor="ITEM19EXHIBITS_388572">
              <w:r>
                <w:rPr>
                  <w:rStyle w:val="InternetLink"/>
                  <w:rFonts w:ascii="Times New Roman;Times;serif" w:hAnsi="Times New Roman;Times;serif"/>
                  <w:b w:val="false"/>
                  <w:i w:val="false"/>
                  <w:caps w:val="false"/>
                  <w:smallCaps w:val="false"/>
                  <w:sz w:val="20"/>
                </w:rPr>
                <w:t>ITEM 19. EXHIBITS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bl>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7" w:name="EXPLANATORYNOTE_120098"/>
      <w:bookmarkStart w:id="38" w:name="_0bd5d603_51fb_41c3_b7fb_d26fbe89a13e"/>
      <w:bookmarkEnd w:id="37"/>
      <w:bookmarkEnd w:id="38"/>
      <w:r>
        <w:rPr>
          <w:rFonts w:ascii="Times New Roman;Times;serif" w:hAnsi="Times New Roman;Times;serif"/>
          <w:b/>
          <w:sz w:val="20"/>
        </w:rPr>
        <w:t>EXPLANATORY NOTE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April 13, 2023 (the “Closing Date”), Bitdeer Technologies Group, an exempted company with limited liability incorporated under the laws of the Cayman Islands (the “Company”), consummated the previously announced business combination pursuant to the Amended and Restate Agreement and Plan of Merger, dated December 15, 2021, by and among (i) the Company, (ii) Bitdeer Technologies Holding Company, an exempted company with limited liability incorporated under the laws of the Cayman Islands (“Bitdeer”), </w:t>
      </w:r>
      <w:r>
        <w:rPr>
          <w:rFonts w:ascii="Times New Roman;Times;serif" w:hAnsi="Times New Roman;Times;serif"/>
          <w:color w:val="231F20"/>
          <w:sz w:val="20"/>
        </w:rPr>
        <w:t>(iii) Blue Safari Group Acquisition Corp., a BVI business company (“BSGA”), (iv) Blue Safari Merge Limited, a British Virgin Islands business company and a wholly-owned subsidiary of the Company (“BSGA Merger Sub 1”), (v) Blue Safari Merge II Limited, a British Virgin Islands business company and a wholly-owned subsidiary of the Company (“BSGA Merger Sub 2”), (vi) Bitdeer Merge Limited, an exempted company with limited liability incorporated under the laws of the Cayman Islands and a wholly-owned subsidiary of the Company (“Bitdeer Merger Sub”) and (vii) Blue Safari Mini Corp., an exempted company incorporated with limited liability under the laws of the Cayman Islands and a wholly-owned subsidiary of BSGA, as amended by (a) the First Amendment to Amended and Restate Agreement and Plan of Merger, dated May 30, 2022, (b) the Second Amendment to Amended and Restated Agreement and Plan of Merger, dated December 2, 2022 and (c) the Third Amendment to Amended and Restated Agreement and Plan of Merger, dated March 7, 2023, each by and among the same parties (the “Merger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Merger Agreement, the transactions contemplated under the Merger Agreement were consummated via a multiple-merger structure, including (i) BSGA Merger Sub 1 merging with and into BSGA with BSGA being the surviving entity and becoming a wholly-owned subsidiary of the Company (the “First SPAC Merger”, and the surviving entity, the “Initial SPAC Surviving Sub”), (ii) immediately following the First SPAC Merger, Initial SPAC Surviving Sub merging with and into BSGA Merger Sub 2, with BSGA Merger Sub 2 being the surviving entity (the “Second SPAC Merger”, and together with the First SPAC Merger, the “Initial Mergers”), and (iii) following the Initial Mergers, Bitdeer Merger Sub merging with and into Bitdeer, with Bitdeer being the surviving entity and becoming a wholly-owned subsidiary of the Company (the “Acquisition Merger”, and together with the Initial Mergers and other transactions contemplated by the Merger Agreement, the “Business Combination”).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Immediately prior to the effective time of the First SPAC Merger (the “First SPAC Merger Effective Time”), (i) each unit of BSGA (“BSGA Unit”) issued and outstanding immediately prior to the First SPAC Merger Effective Time was automatically detached into one Class A ordinary shares, no par value, of BSGA (the “BSGA Class A Ordinary Share”) and one right convertible into one-tenth (1/10) of a BSGA Class A Ordinary Share (the “BSGA Right”) and (ii) each BSGA Right outstanding immediately prior to the First SPAC Merger Effective Time (and immediately subsequent to the detachment of the BSGA Units) was cancelled and ceased to exist in exchange for the right to receive, without interest, one-tenth (1/10) of a BSGA Class A Ordinary Share.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the First SPAC Merger Effective Time, each ordinary share, no par value, of BSGA (the “BSGA Ordinary Share”) issued and outstanding immediately prior to the First SPAC Merger Effective Time was automatically cancelled and ceased to exist in exchange for the right to receive, without interest, one Class A ordinary shares of the Company, par value US$0.0000001 per share (the “Class A Ordinary Share”).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the effective time of the Acquisition Merger (the “Acquisition Merger Effective Time”), (i) each ordinary share of Bitdeer, par value US$0.0000001 per share (the “Bitdeer Ordinary Share”) and each preferred share of Bitdeer, par value US$0.0000001 per share, (together with Bitdeer Ordinary Share, the “Bitdeer Shares”) issued and outstanding immediately prior to the Acquisition Merger Effective Time (other than the Bitdeer Shares beneficially owned by Mr. Jihan Wu, founder of Bitdeer, through Victory Courage Limited, the “Key Executive Shares”) was automatically cancelled and ceased to exist in exchange for the right to receive, without interest, such number of Class A Ordinary Shares that is equal to the Exchange Ratio (as defined below), (ii) each Key Executive Share issued and outstanding immediately prior to the Acquisition Merger Effective Time was automatically cancelled and ceased to exist in exchange for the right to receive, without interest, such number of Class V ordinary shares of the Company (“Class V Ordinary Shares”) that is equal to Exchange Ratio (as defined below), (iii) each restricted share unit to acquire Bitdeer Shares issued pursuant to an award granted under Bitdeer’s 2021 Share Incentive Plan (“Bitdeer RSU”) outstanding immediately prior to the Acquisition Merger Effective Time, whether vested or unvested, was assumed by the Company and converted into an award of restricted share units (each an “Assumed RSU”) representing the rights to receive, on the same terms and conditions (including applicable vesting, settlement and expiration provisions) as applied to each such Bitdeer RSU immediately prior to the Acquisition Merger Effective Time, Class A Ordinary Shares, except that the number of Class A Ordinary Shares subject to such Assumed RSU equals the product of (A) the number of Bitdeer Ordinary Shares that were subject to such Bitdeer RSU immediately prior to the Acquisition Merger Effective Time, multiplied by (B) the Exchange Ratio (as defined below), rounded down to the nearest whole share and (iv) the convertible note issued by Bitdeer that is convertible into the Bitdeer Ordinary Shares (the “Bitdeer Convertible Note”) outstanding immediately prior to the Acquisition Merger Effective Time was assumed by the Company and represented the rights to receive, on the same terms and conditions as applied to such Bitdeer Convertible Note, Class A Ordinary Shares, except that the number of Class A Ordinary Shares to be received upon conversion of the Bitdeer Convertible Note equals the product of the number of Bitdeer Ordinary Shares issuable upon conversion of the Bitdeer Convertible Note multiplied by the Exchange Ratio (as defined below), rounded down to the nearest whole share.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used herein, “Exchange Ratio” means the quotient obtained by dividing (A) 118,000,000 by (B) the Bitdeer Total Shares, and is approximately 0.00858; and “Bitdeer Total Share” equals, as of immediately prior to the Acquisition Merger Effective Time, the sum of (x) the number of issued and outstanding Bitdeer Shares (on an as-converted basis), (y) the aggregate number of Bitdeer Shares (on an as-converted basis) issuable upon the settlement of all vested Bitdeer RSUs as of immediately prior to the Acquisition Merger Effective Time (including after giving effect to the consummation of the Acquisition Merger or any acceleration of any unvested Bitdeer RSUs in connection with the consummation of the Acquisition Merger) and (z) the aggregate number of Bitdeer Shares (on an as-converted basis) issuable upon conversion of the Bitdeer Convertible Note.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On April 14, 2023, Class A Ordinary Shares commenced trading on the Nasdaq Stock Market (“Nasdaq”) under the symbol “BTDR.”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9" w:name="INTRODUCTION_509772"/>
      <w:bookmarkStart w:id="40" w:name="_6380b83b_7a64_4b4f_b1b6_cde83a96e85b"/>
      <w:bookmarkEnd w:id="39"/>
      <w:bookmarkEnd w:id="40"/>
      <w:r>
        <w:rPr>
          <w:rFonts w:ascii="Times New Roman;Times;serif" w:hAnsi="Times New Roman;Times;serif"/>
          <w:b/>
          <w:sz w:val="20"/>
        </w:rPr>
        <w:t>INTRODUCTION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Frequently Used Terms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this annual report on Form 20-F (this “annual report”), unless the context otherwise requires, the “Company,” “Bitdeer” and references to “we,” “us,” or similar such references should be understood to be references to Bitdeer Technologies Group and its subsidiaries. When this annual report refers to “Bitdeer” “we,” “us,” or similar such references in the context of discussing Bitdeer’s business or other affairs prior to the consummation of the Business Combination on April 13, 2023,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 References to “BSGA” should be understood to refer to Blue Safari Group Acquisition Corp.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amounts and percentages that appear in this annual report may not sum due to rounding. Unless otherwise stated or unless the context otherwise requires, in this annual report:</w:t>
      </w:r>
    </w:p>
    <w:p>
      <w:pPr>
        <w:pStyle w:val="TextBody"/>
        <w:spacing w:before="0" w:after="240"/>
        <w:ind w:left="0" w:right="0" w:firstLine="360"/>
        <w:jc w:val="both"/>
        <w:rPr/>
      </w:pPr>
      <w:r>
        <w:rPr/>
        <w:t>“</w:t>
      </w:r>
      <w:r>
        <w:rPr>
          <w:rFonts w:ascii="Times New Roman;Times;serif" w:hAnsi="Times New Roman;Times;serif"/>
          <w:sz w:val="20"/>
        </w:rPr>
        <w:t>Acquisition Merger Effective Time” has the meaning ascribed to it in the section entitled “Explanatory Note.”</w:t>
      </w:r>
    </w:p>
    <w:p>
      <w:pPr>
        <w:pStyle w:val="TextBody"/>
        <w:spacing w:before="0" w:after="240"/>
        <w:ind w:left="0" w:right="0" w:firstLine="360"/>
        <w:jc w:val="both"/>
        <w:rPr/>
      </w:pPr>
      <w:r>
        <w:rPr/>
        <w:t>“</w:t>
      </w:r>
      <w:r>
        <w:rPr>
          <w:rFonts w:ascii="Times New Roman;Times;serif" w:hAnsi="Times New Roman;Times;serif"/>
          <w:sz w:val="20"/>
        </w:rPr>
        <w:t>Bitdeer Convertible Note” means the US$30,000,000 8% coupon unsecured convertible notes due July 2023 issued pursuant to such subscription agreement dated July 23, 2021 between Bitdeer and VENTE Technology Growth Investments L.P. as the noteholder, as may be amended and/or restated from time to time.</w:t>
      </w:r>
    </w:p>
    <w:p>
      <w:pPr>
        <w:pStyle w:val="TextBody"/>
        <w:spacing w:before="0" w:after="240"/>
        <w:ind w:left="0" w:right="0" w:firstLine="360"/>
        <w:jc w:val="both"/>
        <w:rPr/>
      </w:pPr>
      <w:r>
        <w:rPr/>
        <w:t>“</w:t>
      </w:r>
      <w:r>
        <w:rPr>
          <w:rFonts w:ascii="Times New Roman;Times;serif" w:hAnsi="Times New Roman;Times;serif"/>
          <w:sz w:val="20"/>
        </w:rPr>
        <w:t>Bitdeer Merger Sub” or “Merger Sub 3” means Bitdeer Merge Limited, an exempted company with limited liability incorporated under the laws of Cayman Islands and a direct wholly-owned subsidiary of the Company.</w:t>
      </w:r>
    </w:p>
    <w:p>
      <w:pPr>
        <w:pStyle w:val="TextBody"/>
        <w:spacing w:before="0" w:after="240"/>
        <w:ind w:left="0" w:right="0" w:firstLine="360"/>
        <w:jc w:val="both"/>
        <w:rPr/>
      </w:pPr>
      <w:r>
        <w:rPr/>
        <w:t>“</w:t>
      </w:r>
      <w:r>
        <w:rPr>
          <w:rFonts w:ascii="Times New Roman;Times;serif" w:hAnsi="Times New Roman;Times;serif"/>
          <w:sz w:val="20"/>
        </w:rPr>
        <w:t>Bitdeer Ordinary Shares” means the ordinary shares in the share capital of Bitdeer.</w:t>
      </w:r>
    </w:p>
    <w:p>
      <w:pPr>
        <w:pStyle w:val="TextBody"/>
        <w:spacing w:before="0" w:after="240"/>
        <w:ind w:left="0" w:right="0" w:firstLine="360"/>
        <w:jc w:val="both"/>
        <w:rPr/>
      </w:pPr>
      <w:r>
        <w:rPr/>
        <w:t>“</w:t>
      </w:r>
      <w:r>
        <w:rPr>
          <w:rFonts w:ascii="Times New Roman;Times;serif" w:hAnsi="Times New Roman;Times;serif"/>
          <w:sz w:val="20"/>
        </w:rPr>
        <w:t>Bitdeer Plan” means the 2021 Share Incentive Plan adopted by Bitdeer on July 20, 2021, as amended from time to time.</w:t>
      </w:r>
    </w:p>
    <w:p>
      <w:pPr>
        <w:pStyle w:val="TextBody"/>
        <w:spacing w:before="0" w:after="240"/>
        <w:ind w:left="360" w:right="0" w:hanging="0"/>
        <w:jc w:val="both"/>
        <w:rPr/>
      </w:pPr>
      <w:r>
        <w:rPr/>
        <w:t>“</w:t>
      </w:r>
      <w:r>
        <w:rPr>
          <w:rFonts w:ascii="Times New Roman;Times;serif" w:hAnsi="Times New Roman;Times;serif"/>
          <w:sz w:val="20"/>
        </w:rPr>
        <w:t>Bitdeer Preference Shares” means the preference shares in the share capital of Bitdeer.</w:t>
      </w:r>
    </w:p>
    <w:p>
      <w:pPr>
        <w:pStyle w:val="TextBody"/>
        <w:spacing w:before="0" w:after="240"/>
        <w:ind w:left="0" w:right="0" w:firstLine="360"/>
        <w:jc w:val="both"/>
        <w:rPr/>
      </w:pPr>
      <w:r>
        <w:rPr/>
        <w:t>“</w:t>
      </w:r>
      <w:r>
        <w:rPr>
          <w:rFonts w:ascii="Times New Roman;Times;serif" w:hAnsi="Times New Roman;Times;serif"/>
          <w:sz w:val="20"/>
        </w:rPr>
        <w:t>Bitdeer RSUs” means the restricted share units to acquire Bitdeer Shares issued pursuant to an award granted under the Bitdeer Plan.</w:t>
      </w:r>
    </w:p>
    <w:p>
      <w:pPr>
        <w:pStyle w:val="TextBody"/>
        <w:spacing w:before="0" w:after="240"/>
        <w:ind w:left="0" w:right="0" w:firstLine="360"/>
        <w:jc w:val="both"/>
        <w:rPr/>
      </w:pPr>
      <w:r>
        <w:rPr/>
        <w:t>“</w:t>
      </w:r>
      <w:r>
        <w:rPr>
          <w:rFonts w:ascii="Times New Roman;Times;serif" w:hAnsi="Times New Roman;Times;serif"/>
          <w:sz w:val="20"/>
        </w:rPr>
        <w:t>Bitdeer Shares” means the Bitdeer Ordinary Shares and the Bitdeer Preference Shares.</w:t>
      </w:r>
    </w:p>
    <w:p>
      <w:pPr>
        <w:pStyle w:val="TextBody"/>
        <w:spacing w:before="0" w:after="240"/>
        <w:ind w:left="0" w:right="0" w:firstLine="360"/>
        <w:jc w:val="both"/>
        <w:rPr/>
      </w:pPr>
      <w:r>
        <w:rPr/>
        <w:t>“</w:t>
      </w:r>
      <w:r>
        <w:rPr>
          <w:rFonts w:ascii="Times New Roman;Times;serif" w:hAnsi="Times New Roman;Times;serif"/>
          <w:sz w:val="20"/>
        </w:rPr>
        <w:t xml:space="preserve">Bitdeer Total Shares” means, as of immediately prior to the Acquisition Effective Time, (i) the sum of </w:t>
      </w:r>
      <w:r>
        <w:rPr>
          <w:rFonts w:ascii="Times New Roman;Times;serif" w:hAnsi="Times New Roman;Times;serif"/>
          <w:color w:val="231F20"/>
          <w:sz w:val="20"/>
        </w:rPr>
        <w:t>the number of issued and outstanding Bitdeer Shares (on an as-converted basis), (ii) the aggregate number of Bitdeer Shares (on an as-converted basis) issuable upon the settlement of all vested Bitdeer RSUs as of immediately prior to the Acquisition Effective Time (including after giving effect to the consummation of the Acquisition Merger or any acceleration of any unvested Bitdeer RSUs in connection with the consummation of the Acquisition Merger) and (iii) the aggregate number of Bitdeer Shares (on an as converted basis) issuable upon conversion of the Bitdeer Convertible Note.</w:t>
      </w:r>
    </w:p>
    <w:p>
      <w:pPr>
        <w:pStyle w:val="TextBody"/>
        <w:spacing w:before="0" w:after="240"/>
        <w:ind w:left="0" w:right="0" w:firstLine="360"/>
        <w:jc w:val="both"/>
        <w:rPr/>
      </w:pPr>
      <w:r>
        <w:rPr/>
        <w:t>“</w:t>
      </w:r>
      <w:r>
        <w:rPr>
          <w:rFonts w:ascii="Times New Roman;Times;serif" w:hAnsi="Times New Roman;Times;serif"/>
          <w:sz w:val="20"/>
        </w:rPr>
        <w:t>Business Combination” has the meaning ascribed to it in the section entitled “Explanatory Note.”</w:t>
      </w:r>
    </w:p>
    <w:p>
      <w:pPr>
        <w:pStyle w:val="TextBody"/>
        <w:spacing w:before="0" w:after="240"/>
        <w:ind w:left="0" w:right="0" w:firstLine="360"/>
        <w:jc w:val="both"/>
        <w:rPr/>
      </w:pPr>
      <w:r>
        <w:rPr/>
        <w:t>“</w:t>
      </w:r>
      <w:r>
        <w:rPr>
          <w:rFonts w:ascii="Times New Roman;Times;serif" w:hAnsi="Times New Roman;Times;serif"/>
          <w:sz w:val="20"/>
        </w:rPr>
        <w:t>Cayman Companies Act” means the Companies Act (As Revised) of the Cayman Islands.</w:t>
      </w:r>
    </w:p>
    <w:p>
      <w:pPr>
        <w:pStyle w:val="TextBody"/>
        <w:spacing w:before="0" w:after="240"/>
        <w:ind w:left="0" w:right="0" w:firstLine="360"/>
        <w:jc w:val="both"/>
        <w:rPr/>
      </w:pPr>
      <w:r>
        <w:rPr/>
        <w:t>“</w:t>
      </w:r>
      <w:r>
        <w:rPr>
          <w:rFonts w:ascii="Times New Roman;Times;serif" w:hAnsi="Times New Roman;Times;serif"/>
          <w:sz w:val="20"/>
        </w:rPr>
        <w:t>Class A Ordinary Shares” means the Class A ordinary shares, par value US$0.0000001, in the share capital of the Company.</w:t>
      </w:r>
    </w:p>
    <w:p>
      <w:pPr>
        <w:pStyle w:val="TextBody"/>
        <w:spacing w:before="0" w:after="240"/>
        <w:ind w:left="0" w:right="0" w:firstLine="360"/>
        <w:jc w:val="both"/>
        <w:rPr/>
      </w:pPr>
      <w:r>
        <w:rPr/>
        <w:t>“</w:t>
      </w:r>
      <w:r>
        <w:rPr>
          <w:rFonts w:ascii="Times New Roman;Times;serif" w:hAnsi="Times New Roman;Times;serif"/>
          <w:sz w:val="20"/>
        </w:rPr>
        <w:t>Class V Ordinary Shares” means the Class V ordinary shares, par value US$0.0000001, in the share capital of the Company.</w:t>
      </w:r>
    </w:p>
    <w:p>
      <w:pPr>
        <w:pStyle w:val="TextBody"/>
        <w:spacing w:before="0" w:after="240"/>
        <w:ind w:left="0" w:right="0" w:firstLine="360"/>
        <w:jc w:val="both"/>
        <w:rPr/>
      </w:pPr>
      <w:r>
        <w:rPr/>
        <w:t>“</w:t>
      </w:r>
      <w:r>
        <w:rPr>
          <w:rFonts w:ascii="Times New Roman;Times;serif" w:hAnsi="Times New Roman;Times;serif"/>
          <w:sz w:val="20"/>
        </w:rPr>
        <w:t>Closing Date” means April 13, 2023.</w:t>
      </w:r>
    </w:p>
    <w:p>
      <w:pPr>
        <w:pStyle w:val="TextBody"/>
        <w:spacing w:before="0" w:after="240"/>
        <w:ind w:left="0" w:right="0" w:firstLine="360"/>
        <w:jc w:val="both"/>
        <w:rPr/>
      </w:pPr>
      <w:r>
        <w:rPr/>
        <w:t>“</w:t>
      </w:r>
      <w:r>
        <w:rPr>
          <w:rFonts w:ascii="Times New Roman;Times;serif" w:hAnsi="Times New Roman;Times;serif"/>
          <w:sz w:val="20"/>
        </w:rPr>
        <w:t>COVID-19” means the novel coronavirus.</w:t>
      </w:r>
    </w:p>
    <w:p>
      <w:pPr>
        <w:pStyle w:val="TextBody"/>
        <w:spacing w:before="0" w:after="240"/>
        <w:ind w:left="0" w:right="0" w:firstLine="360"/>
        <w:jc w:val="both"/>
        <w:rPr/>
      </w:pPr>
      <w:r>
        <w:rPr/>
        <w:t>“</w:t>
      </w:r>
      <w:r>
        <w:rPr>
          <w:rFonts w:ascii="Times New Roman;Times;serif" w:hAnsi="Times New Roman;Times;serif"/>
          <w:sz w:val="20"/>
        </w:rPr>
        <w:t>Code” means the U.S. Internal Revenue Code of 1986, as amended.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pPr>
      <w:r>
        <w:rPr/>
        <w:t>“</w:t>
      </w:r>
      <w:r>
        <w:rPr>
          <w:rFonts w:ascii="Times New Roman;Times;serif" w:hAnsi="Times New Roman;Times;serif"/>
          <w:sz w:val="20"/>
        </w:rPr>
        <w:t>Exchange Act” means the U.S. Securities Exchange Act of 1934, as amended.</w:t>
      </w:r>
    </w:p>
    <w:p>
      <w:pPr>
        <w:pStyle w:val="TextBody"/>
        <w:spacing w:before="0" w:after="240"/>
        <w:ind w:left="0" w:right="0" w:firstLine="360"/>
        <w:jc w:val="both"/>
        <w:rPr/>
      </w:pPr>
      <w:r>
        <w:rPr/>
        <w:t>“</w:t>
      </w:r>
      <w:r>
        <w:rPr>
          <w:rFonts w:ascii="Times New Roman;Times;serif" w:hAnsi="Times New Roman;Times;serif"/>
          <w:sz w:val="20"/>
        </w:rPr>
        <w:t>Exchange Ratio” means the quotient obtained by dividing the Per Share Equity Value by US$10.00, which is approximately 0.00858 based on the number of Bitdeer Total Shares as of immediately prior to the Acquisition Merger Effective Time (as defined in the Merger Agreement).</w:t>
      </w:r>
    </w:p>
    <w:p>
      <w:pPr>
        <w:pStyle w:val="TextBody"/>
        <w:spacing w:before="0" w:after="240"/>
        <w:ind w:left="0" w:right="0" w:firstLine="360"/>
        <w:jc w:val="both"/>
        <w:rPr/>
      </w:pPr>
      <w:r>
        <w:rPr/>
        <w:t>“</w:t>
      </w:r>
      <w:r>
        <w:rPr>
          <w:rFonts w:ascii="Times New Roman;Times;serif" w:hAnsi="Times New Roman;Times;serif"/>
          <w:sz w:val="20"/>
        </w:rPr>
        <w:t>IAS” means International Accounting Standard.</w:t>
      </w:r>
    </w:p>
    <w:p>
      <w:pPr>
        <w:pStyle w:val="TextBody"/>
        <w:spacing w:before="0" w:after="240"/>
        <w:ind w:left="0" w:right="0" w:firstLine="360"/>
        <w:jc w:val="both"/>
        <w:rPr/>
      </w:pPr>
      <w:r>
        <w:rPr/>
        <w:t>“</w:t>
      </w:r>
      <w:r>
        <w:rPr>
          <w:rFonts w:ascii="Times New Roman;Times;serif" w:hAnsi="Times New Roman;Times;serif"/>
          <w:sz w:val="20"/>
        </w:rPr>
        <w:t>IASB” means International Accounting Standards Board.</w:t>
      </w:r>
    </w:p>
    <w:p>
      <w:pPr>
        <w:pStyle w:val="TextBody"/>
        <w:spacing w:before="0" w:after="240"/>
        <w:ind w:left="0" w:right="0" w:firstLine="360"/>
        <w:jc w:val="both"/>
        <w:rPr/>
      </w:pPr>
      <w:r>
        <w:rPr/>
        <w:t>“</w:t>
      </w:r>
      <w:r>
        <w:rPr>
          <w:rFonts w:ascii="Times New Roman;Times;serif" w:hAnsi="Times New Roman;Times;serif"/>
          <w:sz w:val="20"/>
        </w:rPr>
        <w:t>IFRS” means International Financial Reporting Standards as issued by the International Accounting Standards Board.</w:t>
      </w:r>
    </w:p>
    <w:p>
      <w:pPr>
        <w:pStyle w:val="TextBody"/>
        <w:spacing w:before="0" w:after="240"/>
        <w:ind w:left="0" w:right="0" w:firstLine="360"/>
        <w:jc w:val="both"/>
        <w:rPr/>
      </w:pPr>
      <w:r>
        <w:rPr/>
        <w:t>“</w:t>
      </w:r>
      <w:r>
        <w:rPr>
          <w:rFonts w:ascii="Times New Roman;Times;serif" w:hAnsi="Times New Roman;Times;serif"/>
          <w:sz w:val="20"/>
        </w:rPr>
        <w:t>Investment Company Act” or “1940 Act” means the Investment Company Act of 1940, as amended.</w:t>
      </w:r>
    </w:p>
    <w:p>
      <w:pPr>
        <w:pStyle w:val="TextBody"/>
        <w:spacing w:before="0" w:after="240"/>
        <w:ind w:left="0" w:right="0" w:firstLine="360"/>
        <w:jc w:val="both"/>
        <w:rPr/>
      </w:pPr>
      <w:r>
        <w:rPr/>
        <w:t>“</w:t>
      </w:r>
      <w:r>
        <w:rPr>
          <w:rFonts w:ascii="Times New Roman;Times;serif" w:hAnsi="Times New Roman;Times;serif"/>
          <w:sz w:val="20"/>
        </w:rPr>
        <w:t>JOBS Act” means the Jumpstart our Business Startups Act of 2012.</w:t>
      </w:r>
    </w:p>
    <w:p>
      <w:pPr>
        <w:pStyle w:val="TextBody"/>
        <w:spacing w:before="0" w:after="240"/>
        <w:ind w:left="0" w:right="0" w:firstLine="360"/>
        <w:jc w:val="both"/>
        <w:rPr/>
      </w:pPr>
      <w:r>
        <w:rPr/>
        <w:t>“</w:t>
      </w:r>
      <w:r>
        <w:rPr>
          <w:rFonts w:ascii="Times New Roman;Times;serif" w:hAnsi="Times New Roman;Times;serif"/>
          <w:sz w:val="20"/>
        </w:rPr>
        <w:t>Merger Agreement” means the Amended and Restated Agreement and Plan of Merger, dated December 15, 2021, by and among the Company, BSGA, Bitdeer and other parties thereto, which amended and restated the Agreement and Plan of Merger dated November 18, 2021, as amended by (i) the First Amendment to Amended and Restated Agreement and Plan of Merger, dated May 30, 2022, by and among the same parties, (ii) the Second Amendment to Amended and Restated Agreement and Plan of Merger, dated December 2, 2022, by and among the same parties, and (iii) the Third Amendment to Amended and Restated Agreement and Plan of Merger, dated March 7, 2023, by and among the same parties.</w:t>
      </w:r>
    </w:p>
    <w:p>
      <w:pPr>
        <w:pStyle w:val="TextBody"/>
        <w:spacing w:before="0" w:after="240"/>
        <w:ind w:left="0" w:right="0" w:firstLine="360"/>
        <w:jc w:val="both"/>
        <w:rPr/>
      </w:pPr>
      <w:r>
        <w:rPr/>
        <w:t>“</w:t>
      </w:r>
      <w:r>
        <w:rPr>
          <w:rFonts w:ascii="Times New Roman;Times;serif" w:hAnsi="Times New Roman;Times;serif"/>
          <w:sz w:val="20"/>
        </w:rPr>
        <w:t>Nasdaq” means the Nasdaq Stock Market.</w:t>
      </w:r>
    </w:p>
    <w:p>
      <w:pPr>
        <w:pStyle w:val="TextBody"/>
        <w:spacing w:before="0" w:after="240"/>
        <w:ind w:left="0" w:right="0" w:firstLine="360"/>
        <w:jc w:val="both"/>
        <w:rPr/>
      </w:pPr>
      <w:r>
        <w:rPr/>
        <w:t>“</w:t>
      </w:r>
      <w:r>
        <w:rPr>
          <w:rFonts w:ascii="Times New Roman;Times;serif" w:hAnsi="Times New Roman;Times;serif"/>
          <w:sz w:val="20"/>
        </w:rPr>
        <w:t>Ordinary Shares” means Class A Ordinary Shares and/or Class V Ordinary Shares (as appropriate).</w:t>
      </w:r>
    </w:p>
    <w:p>
      <w:pPr>
        <w:pStyle w:val="TextBody"/>
        <w:spacing w:before="0" w:after="240"/>
        <w:ind w:left="0" w:right="0" w:firstLine="360"/>
        <w:jc w:val="both"/>
        <w:rPr/>
      </w:pPr>
      <w:r>
        <w:rPr/>
        <w:t>“</w:t>
      </w:r>
      <w:r>
        <w:rPr>
          <w:rFonts w:ascii="Times New Roman;Times;serif" w:hAnsi="Times New Roman;Times;serif"/>
          <w:sz w:val="20"/>
        </w:rPr>
        <w:t>PFIC” means a passive foreign investment company.</w:t>
      </w:r>
    </w:p>
    <w:p>
      <w:pPr>
        <w:pStyle w:val="TextBody"/>
        <w:spacing w:before="0" w:after="240"/>
        <w:ind w:left="0" w:right="0" w:firstLine="360"/>
        <w:jc w:val="both"/>
        <w:rPr/>
      </w:pPr>
      <w:r>
        <w:rPr/>
        <w:t>“</w:t>
      </w:r>
      <w:r>
        <w:rPr>
          <w:rFonts w:ascii="Times New Roman;Times;serif" w:hAnsi="Times New Roman;Times;serif"/>
          <w:sz w:val="20"/>
        </w:rPr>
        <w:t>Per Share Equity Value” means the quotient obtained by dividing US$1.18 billion by the Bitdeer Total Shares.</w:t>
      </w:r>
    </w:p>
    <w:p>
      <w:pPr>
        <w:pStyle w:val="TextBody"/>
        <w:spacing w:before="0" w:after="240"/>
        <w:ind w:left="0" w:right="0" w:firstLine="360"/>
        <w:jc w:val="both"/>
        <w:rPr/>
      </w:pPr>
      <w:r>
        <w:rPr/>
        <w:t>“</w:t>
      </w:r>
      <w:r>
        <w:rPr>
          <w:rFonts w:ascii="Times New Roman;Times;serif" w:hAnsi="Times New Roman;Times;serif"/>
          <w:sz w:val="20"/>
        </w:rPr>
        <w:t>Rule 144” means Rule 144 under the Securities Act.</w:t>
      </w:r>
    </w:p>
    <w:p>
      <w:pPr>
        <w:pStyle w:val="TextBody"/>
        <w:spacing w:before="0" w:after="240"/>
        <w:ind w:left="0" w:right="0" w:firstLine="360"/>
        <w:jc w:val="both"/>
        <w:rPr/>
      </w:pPr>
      <w:r>
        <w:rPr/>
        <w:t>“</w:t>
      </w:r>
      <w:r>
        <w:rPr>
          <w:rFonts w:ascii="Times New Roman;Times;serif" w:hAnsi="Times New Roman;Times;serif"/>
          <w:sz w:val="20"/>
        </w:rPr>
        <w:t>Sarbanes-Oxley Act” means the Sarbanes-Oxley Act of 2002.</w:t>
      </w:r>
    </w:p>
    <w:p>
      <w:pPr>
        <w:pStyle w:val="TextBody"/>
        <w:spacing w:before="0" w:after="240"/>
        <w:ind w:left="0" w:right="0" w:firstLine="360"/>
        <w:jc w:val="both"/>
        <w:rPr/>
      </w:pPr>
      <w:r>
        <w:rPr/>
        <w:t>“</w:t>
      </w:r>
      <w:r>
        <w:rPr>
          <w:rFonts w:ascii="Times New Roman;Times;serif" w:hAnsi="Times New Roman;Times;serif"/>
          <w:sz w:val="20"/>
        </w:rPr>
        <w:t>SEC” means the U.S. Securities and Exchange Commission.</w:t>
      </w:r>
    </w:p>
    <w:p>
      <w:pPr>
        <w:pStyle w:val="TextBody"/>
        <w:spacing w:before="0" w:after="240"/>
        <w:ind w:left="0" w:right="0" w:firstLine="360"/>
        <w:jc w:val="both"/>
        <w:rPr/>
      </w:pPr>
      <w:r>
        <w:rPr/>
        <w:t>“</w:t>
      </w:r>
      <w:r>
        <w:rPr>
          <w:rFonts w:ascii="Times New Roman;Times;serif" w:hAnsi="Times New Roman;Times;serif"/>
          <w:sz w:val="20"/>
        </w:rPr>
        <w:t>Securities Act” means the U.S. Securities Act of 1933, as amended.</w:t>
      </w:r>
    </w:p>
    <w:p>
      <w:pPr>
        <w:pStyle w:val="TextBody"/>
        <w:spacing w:before="0" w:after="240"/>
        <w:ind w:left="0" w:right="0" w:firstLine="360"/>
        <w:jc w:val="both"/>
        <w:rPr/>
      </w:pPr>
      <w:r>
        <w:rPr/>
        <w:t>“</w:t>
      </w:r>
      <w:r>
        <w:rPr>
          <w:rFonts w:ascii="Times New Roman;Times;serif" w:hAnsi="Times New Roman;Times;serif"/>
          <w:sz w:val="20"/>
        </w:rPr>
        <w:t>U.S. Dollars” and “US$” means United States dollars, the legal currency of the United States.</w:t>
      </w:r>
    </w:p>
    <w:p>
      <w:pPr>
        <w:pStyle w:val="TextBody"/>
        <w:spacing w:before="0" w:after="240"/>
        <w:ind w:left="0" w:right="0" w:firstLine="360"/>
        <w:jc w:val="both"/>
        <w:rPr/>
      </w:pPr>
      <w:r>
        <w:rPr/>
        <w:t>“</w:t>
      </w:r>
      <w:r>
        <w:rPr>
          <w:rFonts w:ascii="Times New Roman;Times;serif" w:hAnsi="Times New Roman;Times;serif"/>
          <w:sz w:val="20"/>
        </w:rPr>
        <w:t>U.S. GAAP” means generally accepted accounting principles in the United States.</w:t>
      </w:r>
    </w:p>
    <w:p>
      <w:pPr>
        <w:pStyle w:val="TextBody"/>
        <w:spacing w:before="0" w:after="240"/>
        <w:ind w:left="0" w:right="0" w:firstLine="360"/>
        <w:jc w:val="both"/>
        <w:rPr/>
      </w:pPr>
      <w:r>
        <w:rPr/>
        <w:t>“</w:t>
      </w:r>
      <w:r>
        <w:rPr>
          <w:rFonts w:ascii="Times New Roman;Times;serif" w:hAnsi="Times New Roman;Times;serif"/>
          <w:sz w:val="20"/>
        </w:rPr>
        <w:t>VAT” means value added tax.</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Frequently Used Technical Terms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Unless otherwise stated or unless the context otherwise requires, in this annual report:</w:t>
      </w:r>
    </w:p>
    <w:p>
      <w:pPr>
        <w:pStyle w:val="TextBody"/>
        <w:spacing w:before="0" w:after="240"/>
        <w:ind w:left="0" w:right="0" w:firstLine="360"/>
        <w:jc w:val="both"/>
        <w:rPr/>
      </w:pPr>
      <w:r>
        <w:rPr/>
        <w:t>“</w:t>
      </w:r>
      <w:r>
        <w:rPr>
          <w:rFonts w:ascii="Times New Roman;Times;serif" w:hAnsi="Times New Roman;Times;serif"/>
          <w:sz w:val="20"/>
        </w:rPr>
        <w:t>BCH” means Bitcoin Cash.</w:t>
      </w:r>
    </w:p>
    <w:p>
      <w:pPr>
        <w:pStyle w:val="TextBody"/>
        <w:spacing w:before="0" w:after="240"/>
        <w:ind w:left="0" w:right="0" w:firstLine="360"/>
        <w:jc w:val="both"/>
        <w:rPr/>
      </w:pPr>
      <w:r>
        <w:rPr/>
        <w:t>“</w:t>
      </w:r>
      <w:r>
        <w:rPr>
          <w:rFonts w:ascii="Times New Roman;Times;serif" w:hAnsi="Times New Roman;Times;serif"/>
          <w:sz w:val="20"/>
        </w:rPr>
        <w:t>BCHA” means Bitcoin Cash ABC.</w:t>
      </w:r>
    </w:p>
    <w:p>
      <w:pPr>
        <w:pStyle w:val="TextBody"/>
        <w:spacing w:before="0" w:after="240"/>
        <w:ind w:left="0" w:right="0" w:firstLine="360"/>
        <w:jc w:val="both"/>
        <w:rPr/>
      </w:pPr>
      <w:r>
        <w:rPr/>
        <w:t>“</w:t>
      </w:r>
      <w:r>
        <w:rPr>
          <w:rFonts w:ascii="Times New Roman;Times;serif" w:hAnsi="Times New Roman;Times;serif"/>
          <w:sz w:val="20"/>
        </w:rPr>
        <w:t>BSV” means Bitcoin Satoshi’s Vision.</w:t>
      </w:r>
    </w:p>
    <w:p>
      <w:pPr>
        <w:pStyle w:val="TextBody"/>
        <w:spacing w:before="0" w:after="240"/>
        <w:ind w:left="0" w:right="0" w:firstLine="360"/>
        <w:jc w:val="both"/>
        <w:rPr/>
      </w:pPr>
      <w:r>
        <w:rPr/>
        <w:t>“</w:t>
      </w:r>
      <w:r>
        <w:rPr>
          <w:rFonts w:ascii="Times New Roman;Times;serif" w:hAnsi="Times New Roman;Times;serif"/>
          <w:sz w:val="20"/>
        </w:rPr>
        <w:t>BTC” means Bitcoin.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pPr>
      <w:r>
        <w:rPr/>
        <w:t>“</w:t>
      </w:r>
      <w:r>
        <w:rPr>
          <w:rFonts w:ascii="Times New Roman;Times;serif" w:hAnsi="Times New Roman;Times;serif"/>
          <w:sz w:val="20"/>
        </w:rPr>
        <w:t>BTM” means Bytom.</w:t>
      </w:r>
    </w:p>
    <w:p>
      <w:pPr>
        <w:pStyle w:val="TextBody"/>
        <w:spacing w:before="0" w:after="240"/>
        <w:ind w:left="0" w:right="0" w:firstLine="360"/>
        <w:jc w:val="both"/>
        <w:rPr/>
      </w:pPr>
      <w:r>
        <w:rPr/>
        <w:t>“</w:t>
      </w:r>
      <w:r>
        <w:rPr>
          <w:rFonts w:ascii="Times New Roman;Times;serif" w:hAnsi="Times New Roman;Times;serif"/>
          <w:sz w:val="20"/>
        </w:rPr>
        <w:t>CKB” means Nervos Network.</w:t>
      </w:r>
    </w:p>
    <w:p>
      <w:pPr>
        <w:pStyle w:val="TextBody"/>
        <w:spacing w:before="0" w:after="240"/>
        <w:ind w:left="0" w:right="0" w:firstLine="360"/>
        <w:jc w:val="both"/>
        <w:rPr/>
      </w:pPr>
      <w:r>
        <w:rPr/>
        <w:t>“</w:t>
      </w:r>
      <w:r>
        <w:rPr>
          <w:rFonts w:ascii="Times New Roman;Times;serif" w:hAnsi="Times New Roman;Times;serif"/>
          <w:sz w:val="20"/>
        </w:rPr>
        <w:t>DASH” means Dash.</w:t>
      </w:r>
    </w:p>
    <w:p>
      <w:pPr>
        <w:pStyle w:val="TextBody"/>
        <w:spacing w:before="0" w:after="240"/>
        <w:ind w:left="0" w:right="0" w:firstLine="360"/>
        <w:jc w:val="both"/>
        <w:rPr/>
      </w:pPr>
      <w:r>
        <w:rPr/>
        <w:t>“</w:t>
      </w:r>
      <w:r>
        <w:rPr>
          <w:rFonts w:ascii="Times New Roman;Times;serif" w:hAnsi="Times New Roman;Times;serif"/>
          <w:sz w:val="20"/>
        </w:rPr>
        <w:t>DCR” means Decred.</w:t>
      </w:r>
    </w:p>
    <w:p>
      <w:pPr>
        <w:pStyle w:val="TextBody"/>
        <w:spacing w:before="0" w:after="240"/>
        <w:ind w:left="0" w:right="0" w:firstLine="360"/>
        <w:jc w:val="both"/>
        <w:rPr/>
      </w:pPr>
      <w:r>
        <w:rPr/>
        <w:t>“</w:t>
      </w:r>
      <w:r>
        <w:rPr>
          <w:rFonts w:ascii="Times New Roman;Times;serif" w:hAnsi="Times New Roman;Times;serif"/>
          <w:sz w:val="20"/>
        </w:rPr>
        <w:t>DOGE” means Dogecoin.</w:t>
      </w:r>
    </w:p>
    <w:p>
      <w:pPr>
        <w:pStyle w:val="TextBody"/>
        <w:spacing w:before="0" w:after="240"/>
        <w:ind w:left="0" w:right="0" w:firstLine="360"/>
        <w:jc w:val="both"/>
        <w:rPr/>
      </w:pPr>
      <w:r>
        <w:rPr/>
        <w:t>“</w:t>
      </w:r>
      <w:r>
        <w:rPr>
          <w:rFonts w:ascii="Times New Roman;Times;serif" w:hAnsi="Times New Roman;Times;serif"/>
          <w:sz w:val="20"/>
        </w:rPr>
        <w:t>DPoS” means Delegated Proof-of-Stake.</w:t>
      </w:r>
    </w:p>
    <w:p>
      <w:pPr>
        <w:pStyle w:val="TextBody"/>
        <w:spacing w:before="0" w:after="240"/>
        <w:ind w:left="0" w:right="0" w:firstLine="360"/>
        <w:jc w:val="both"/>
        <w:rPr/>
      </w:pPr>
      <w:r>
        <w:rPr/>
        <w:t>“</w:t>
      </w:r>
      <w:r>
        <w:rPr>
          <w:rFonts w:ascii="Times New Roman;Times;serif" w:hAnsi="Times New Roman;Times;serif"/>
          <w:sz w:val="20"/>
        </w:rPr>
        <w:t>EH/s” means exahash per second.</w:t>
      </w:r>
    </w:p>
    <w:p>
      <w:pPr>
        <w:pStyle w:val="TextBody"/>
        <w:spacing w:before="0" w:after="240"/>
        <w:ind w:left="0" w:right="0" w:firstLine="360"/>
        <w:jc w:val="both"/>
        <w:rPr/>
      </w:pPr>
      <w:r>
        <w:rPr/>
        <w:t>“</w:t>
      </w:r>
      <w:r>
        <w:rPr>
          <w:rFonts w:ascii="Times New Roman;Times;serif" w:hAnsi="Times New Roman;Times;serif"/>
          <w:sz w:val="20"/>
        </w:rPr>
        <w:t>ETC” means Ethereum Classic.</w:t>
      </w:r>
    </w:p>
    <w:p>
      <w:pPr>
        <w:pStyle w:val="TextBody"/>
        <w:spacing w:before="0" w:after="240"/>
        <w:ind w:left="0" w:right="0" w:firstLine="360"/>
        <w:jc w:val="both"/>
        <w:rPr/>
      </w:pPr>
      <w:r>
        <w:rPr/>
        <w:t>“</w:t>
      </w:r>
      <w:r>
        <w:rPr>
          <w:rFonts w:ascii="Times New Roman;Times;serif" w:hAnsi="Times New Roman;Times;serif"/>
          <w:sz w:val="20"/>
        </w:rPr>
        <w:t>ETH” means Ethereum.</w:t>
      </w:r>
    </w:p>
    <w:p>
      <w:pPr>
        <w:pStyle w:val="TextBody"/>
        <w:spacing w:before="0" w:after="240"/>
        <w:ind w:left="0" w:right="0" w:firstLine="360"/>
        <w:jc w:val="both"/>
        <w:rPr/>
      </w:pPr>
      <w:r>
        <w:rPr/>
        <w:t>“</w:t>
      </w:r>
      <w:r>
        <w:rPr>
          <w:rFonts w:ascii="Times New Roman;Times;serif" w:hAnsi="Times New Roman;Times;serif"/>
          <w:sz w:val="20"/>
        </w:rPr>
        <w:t>ETN” means Electroneum.</w:t>
      </w:r>
    </w:p>
    <w:p>
      <w:pPr>
        <w:pStyle w:val="TextBody"/>
        <w:spacing w:before="0" w:after="240"/>
        <w:ind w:left="0" w:right="0" w:firstLine="360"/>
        <w:jc w:val="both"/>
        <w:rPr/>
      </w:pPr>
      <w:r>
        <w:rPr/>
        <w:t>“</w:t>
      </w:r>
      <w:r>
        <w:rPr>
          <w:rFonts w:ascii="Times New Roman;Times;serif" w:hAnsi="Times New Roman;Times;serif"/>
          <w:sz w:val="20"/>
        </w:rPr>
        <w:t>FIL” means Filecoin.</w:t>
      </w:r>
    </w:p>
    <w:p>
      <w:pPr>
        <w:pStyle w:val="TextBody"/>
        <w:spacing w:before="0" w:after="240"/>
        <w:ind w:left="0" w:right="0" w:firstLine="360"/>
        <w:jc w:val="both"/>
        <w:rPr/>
      </w:pPr>
      <w:r>
        <w:rPr/>
        <w:t>“</w:t>
      </w:r>
      <w:r>
        <w:rPr>
          <w:rFonts w:ascii="Times New Roman;Times;serif" w:hAnsi="Times New Roman;Times;serif"/>
          <w:sz w:val="20"/>
        </w:rPr>
        <w:t>HNS” means Handshake coin.</w:t>
      </w:r>
    </w:p>
    <w:p>
      <w:pPr>
        <w:pStyle w:val="TextBody"/>
        <w:spacing w:before="0" w:after="240"/>
        <w:ind w:left="0" w:right="0" w:firstLine="360"/>
        <w:jc w:val="both"/>
        <w:rPr/>
      </w:pPr>
      <w:r>
        <w:rPr/>
        <w:t>“</w:t>
      </w:r>
      <w:r>
        <w:rPr>
          <w:rFonts w:ascii="Times New Roman;Times;serif" w:hAnsi="Times New Roman;Times;serif"/>
          <w:sz w:val="20"/>
        </w:rPr>
        <w:t>j/T” means joule/terahash.</w:t>
      </w:r>
    </w:p>
    <w:p>
      <w:pPr>
        <w:pStyle w:val="TextBody"/>
        <w:spacing w:before="0" w:after="240"/>
        <w:ind w:left="0" w:right="0" w:firstLine="360"/>
        <w:jc w:val="both"/>
        <w:rPr/>
      </w:pPr>
      <w:r>
        <w:rPr/>
        <w:t>“</w:t>
      </w:r>
      <w:r>
        <w:rPr>
          <w:rFonts w:ascii="Times New Roman;Times;serif" w:hAnsi="Times New Roman;Times;serif"/>
          <w:sz w:val="20"/>
        </w:rPr>
        <w:t>LTC” means Litecoin.</w:t>
      </w:r>
    </w:p>
    <w:p>
      <w:pPr>
        <w:pStyle w:val="TextBody"/>
        <w:spacing w:before="0" w:after="240"/>
        <w:ind w:left="0" w:right="0" w:firstLine="360"/>
        <w:jc w:val="both"/>
        <w:rPr/>
      </w:pPr>
      <w:r>
        <w:rPr/>
        <w:t>“</w:t>
      </w:r>
      <w:r>
        <w:rPr>
          <w:rFonts w:ascii="Times New Roman;Times;serif" w:hAnsi="Times New Roman;Times;serif"/>
          <w:sz w:val="20"/>
        </w:rPr>
        <w:t>PoC” means Proof-of-Capacity.</w:t>
      </w:r>
    </w:p>
    <w:p>
      <w:pPr>
        <w:pStyle w:val="TextBody"/>
        <w:spacing w:before="0" w:after="240"/>
        <w:ind w:left="0" w:right="0" w:firstLine="360"/>
        <w:jc w:val="both"/>
        <w:rPr/>
      </w:pPr>
      <w:r>
        <w:rPr/>
        <w:t>“</w:t>
      </w:r>
      <w:r>
        <w:rPr>
          <w:rFonts w:ascii="Times New Roman;Times;serif" w:hAnsi="Times New Roman;Times;serif"/>
          <w:sz w:val="20"/>
        </w:rPr>
        <w:t>PoS” means Proof-of-Stake.</w:t>
      </w:r>
    </w:p>
    <w:p>
      <w:pPr>
        <w:pStyle w:val="TextBody"/>
        <w:spacing w:before="0" w:after="240"/>
        <w:ind w:left="0" w:right="0" w:firstLine="360"/>
        <w:jc w:val="both"/>
        <w:rPr/>
      </w:pPr>
      <w:r>
        <w:rPr/>
        <w:t>“</w:t>
      </w:r>
      <w:r>
        <w:rPr>
          <w:rFonts w:ascii="Times New Roman;Times;serif" w:hAnsi="Times New Roman;Times;serif"/>
          <w:sz w:val="20"/>
        </w:rPr>
        <w:t>PoST” means Proof-of-Spacetime.</w:t>
      </w:r>
    </w:p>
    <w:p>
      <w:pPr>
        <w:pStyle w:val="TextBody"/>
        <w:spacing w:before="0" w:after="240"/>
        <w:ind w:left="0" w:right="0" w:firstLine="360"/>
        <w:jc w:val="both"/>
        <w:rPr/>
      </w:pPr>
      <w:r>
        <w:rPr/>
        <w:t>“</w:t>
      </w:r>
      <w:r>
        <w:rPr>
          <w:rFonts w:ascii="Times New Roman;Times;serif" w:hAnsi="Times New Roman;Times;serif"/>
          <w:sz w:val="20"/>
        </w:rPr>
        <w:t>PoW” means Proof-of-Work.</w:t>
      </w:r>
    </w:p>
    <w:p>
      <w:pPr>
        <w:pStyle w:val="TextBody"/>
        <w:spacing w:before="0" w:after="240"/>
        <w:ind w:left="0" w:right="0" w:firstLine="360"/>
        <w:jc w:val="both"/>
        <w:rPr/>
      </w:pPr>
      <w:r>
        <w:rPr/>
        <w:t>“</w:t>
      </w:r>
      <w:r>
        <w:rPr>
          <w:rFonts w:ascii="Times New Roman;Times;serif" w:hAnsi="Times New Roman;Times;serif"/>
          <w:sz w:val="20"/>
        </w:rPr>
        <w:t>SC” means Siacoin.</w:t>
      </w:r>
    </w:p>
    <w:p>
      <w:pPr>
        <w:pStyle w:val="TextBody"/>
        <w:spacing w:before="0" w:after="240"/>
        <w:ind w:left="0" w:right="0" w:firstLine="360"/>
        <w:jc w:val="both"/>
        <w:rPr/>
      </w:pPr>
      <w:r>
        <w:rPr/>
        <w:t>“</w:t>
      </w:r>
      <w:r>
        <w:rPr>
          <w:rFonts w:ascii="Times New Roman;Times;serif" w:hAnsi="Times New Roman;Times;serif"/>
          <w:sz w:val="20"/>
        </w:rPr>
        <w:t>TH/s” means terahash per second.</w:t>
      </w:r>
    </w:p>
    <w:p>
      <w:pPr>
        <w:pStyle w:val="TextBody"/>
        <w:spacing w:before="0" w:after="240"/>
        <w:ind w:left="0" w:right="0" w:firstLine="360"/>
        <w:jc w:val="both"/>
        <w:rPr/>
      </w:pPr>
      <w:r>
        <w:rPr/>
        <w:t>“</w:t>
      </w:r>
      <w:r>
        <w:rPr>
          <w:rFonts w:ascii="Times New Roman;Times;serif" w:hAnsi="Times New Roman;Times;serif"/>
          <w:sz w:val="20"/>
        </w:rPr>
        <w:t>USDC” means USD Coin.</w:t>
      </w:r>
    </w:p>
    <w:p>
      <w:pPr>
        <w:pStyle w:val="TextBody"/>
        <w:spacing w:before="0" w:after="240"/>
        <w:ind w:left="0" w:right="0" w:firstLine="360"/>
        <w:jc w:val="both"/>
        <w:rPr/>
      </w:pPr>
      <w:r>
        <w:rPr/>
        <w:t>“</w:t>
      </w:r>
      <w:r>
        <w:rPr>
          <w:rFonts w:ascii="Times New Roman;Times;serif" w:hAnsi="Times New Roman;Times;serif"/>
          <w:sz w:val="20"/>
        </w:rPr>
        <w:t>USDT” means Tether, a cryptocurrency that is hosted on the Ethereum and Bitcoin blockchains, among others.</w:t>
      </w:r>
    </w:p>
    <w:p>
      <w:pPr>
        <w:pStyle w:val="TextBody"/>
        <w:spacing w:before="0" w:after="240"/>
        <w:ind w:left="0" w:right="0" w:firstLine="360"/>
        <w:jc w:val="both"/>
        <w:rPr/>
      </w:pPr>
      <w:r>
        <w:rPr/>
        <w:t>“</w:t>
      </w:r>
      <w:r>
        <w:rPr>
          <w:rFonts w:ascii="Times New Roman;Times;serif" w:hAnsi="Times New Roman;Times;serif"/>
          <w:sz w:val="20"/>
        </w:rPr>
        <w:t>XCH” means Chia.</w:t>
      </w:r>
    </w:p>
    <w:p>
      <w:pPr>
        <w:pStyle w:val="TextBody"/>
        <w:spacing w:before="0" w:after="240"/>
        <w:ind w:left="0" w:right="0" w:firstLine="360"/>
        <w:jc w:val="both"/>
        <w:rPr/>
      </w:pPr>
      <w:r>
        <w:rPr/>
        <w:t>“</w:t>
      </w:r>
      <w:r>
        <w:rPr>
          <w:rFonts w:ascii="Times New Roman;Times;serif" w:hAnsi="Times New Roman;Times;serif"/>
          <w:sz w:val="20"/>
        </w:rPr>
        <w:t>ZEC” means Zcash.</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1" w:name="CAUTIONARYNOTEREGARDINGFORWARDLOOKINGSTA"/>
      <w:bookmarkStart w:id="42" w:name="_a3a34d04_dd09_464e_8115_a8d4c422cc49"/>
      <w:bookmarkEnd w:id="41"/>
      <w:bookmarkEnd w:id="42"/>
      <w:r>
        <w:rPr>
          <w:rFonts w:ascii="Times New Roman;Times;serif" w:hAnsi="Times New Roman;Times;serif"/>
          <w:b/>
          <w:sz w:val="20"/>
        </w:rPr>
        <w:t>CAUTIONARY NOTE REGARDING FORWARD-LOOKING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but absence of these words does not mean that a statement is not forward-looking. The risk factors and cautionary language referred to in this annual report provide examples of risks, uncertainties and events that may cause actual results to differ materially from the expectations described in our forward-looking statements, including among other things, the matters set forth in the section entitled “Item 3. Key Information — D. Risk Factors” of this annual report.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Readers are cautioned not to place undue reliance on these forward-looking statements, which speak only as of the date of this annual report. Although we believe that the expectations reflected in such forward-looking statements are reasonable, there can be no assurance that such expectations will prove to be correct. These statements involve known and unknown risks and are based upon a number of assumptions and estimates which are inherently subject to significant uncertainties and contingencies, many of which are beyond our control. Actual results may differ materially from those expressed or implied by such forward-looking statements. We undertake no obligation to publicly update or revise any forward-looking statements contained in this annual report, or the documents to which we refer readers in this annual report, to reflect any change in our expectations with respect to such statements or any change in events, conditions or circumstances upon which any statement is based.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3" w:name="PARTI_923763"/>
      <w:bookmarkStart w:id="44" w:name="_7cd4e591_962f_438a_9160_e39240e2a2e3"/>
      <w:bookmarkEnd w:id="43"/>
      <w:bookmarkEnd w:id="44"/>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20"/>
        </w:rPr>
      </w:pPr>
      <w:bookmarkStart w:id="45" w:name="ITEM1IDENTITYOFDIRECTORSSENIORMANAGEMENT"/>
      <w:bookmarkEnd w:id="45"/>
      <w:r>
        <w:rPr>
          <w:rFonts w:ascii="Times New Roman;Times;serif" w:hAnsi="Times New Roman;Times;serif"/>
          <w:b/>
          <w:sz w:val="20"/>
        </w:rPr>
        <w:t>ITEM 1. IDENTITY OF DIRECTORS, SENIOR MANAGEMENT AND ADVISERS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46" w:name="ITEM2OFFERSTATISTICSANDEXPECTEDTIMETABLE"/>
      <w:bookmarkStart w:id="47" w:name="_c8692c63_c295_48d6_a284_5a49aa7e79c5"/>
      <w:bookmarkEnd w:id="46"/>
      <w:bookmarkEnd w:id="47"/>
      <w:r>
        <w:rPr>
          <w:rFonts w:ascii="Times New Roman;Times;serif" w:hAnsi="Times New Roman;Times;serif"/>
          <w:b/>
          <w:sz w:val="20"/>
        </w:rPr>
        <w:t>ITEM 2. OFFER STATISTICS AND EXPECTED TIMETABLE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48" w:name="ITEM3KEYINFORMATION_833857"/>
      <w:bookmarkStart w:id="49" w:name="_03732016_914c_4b01_9cef_7d498ff9129f"/>
      <w:bookmarkEnd w:id="48"/>
      <w:bookmarkEnd w:id="49"/>
      <w:r>
        <w:rPr>
          <w:rFonts w:ascii="Times New Roman;Times;serif" w:hAnsi="Times New Roman;Times;serif"/>
          <w:b/>
          <w:sz w:val="20"/>
        </w:rPr>
        <w:t>ITEM 3. KEY INFORMATION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Our business and our industry are subject to significant risks. You should carefully consider all of the information set forth in this annual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annual report also contains forward- looking statements that involve risks and uncertainties. See the section entitled “Cautionary Note Regarding Forward-Looking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of Risk Factors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w:t>
      </w:r>
      <w:r>
        <w:rPr>
          <w:rFonts w:ascii="Times New Roman;Times;serif" w:hAnsi="Times New Roman;Times;serif"/>
          <w:color w:val="231F20"/>
          <w:sz w:val="20"/>
        </w:rPr>
        <w:t xml:space="preserve">s, </w:t>
      </w:r>
      <w:r>
        <w:rPr>
          <w:rFonts w:ascii="Times New Roman;Times;serif" w:hAnsi="Times New Roman;Times;serif"/>
          <w:sz w:val="20"/>
        </w:rPr>
        <w:t>results</w:t>
      </w:r>
      <w:r>
        <w:rPr>
          <w:rFonts w:ascii="Times New Roman;Times;serif" w:hAnsi="Times New Roman;Times;serif"/>
          <w:color w:val="231F20"/>
          <w:sz w:val="20"/>
        </w:rPr>
        <w:t xml:space="preserve"> of operations and financial condition could be materially and adversely affected by any of the following material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results of operations have been and are expected to continue to be significantly impacted by Bitcoin price fluctuation.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supply of Bitcoins available for mining is limited and we may not be able to quickly adapt to new businesses when all the Bitcoins have been mined.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Although we have an organic way of growing our mining fleets, our business is nevertheless capital intensive. We may need additional capital but may not be able to obtain it in a timely manner and on favorable terms or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may not be able to maintain our competitive position as cryptocurrency networks experience increases in the total network hash rate.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experienced negative cash flows from operating activities and incurred net losses in the past. We can provide no assurance of our future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limited operating history and rapid revenue growth may make it difficult for us to forecast our business and assess the seasonality and volatility in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experienced and may experience in the future hash rate loss during our operations due to factors beyond our control.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subject to risks associated with our need for significant electric power and the limited availability of power resources, which could have a material adverse effect on our business,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Because there has been limited precedent set for financial accounting for Bitcoin and other cryptocurrencies, the determinations that we have made for how to account for cryptocurrencies transactions may be subject to change.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loss or destruction of a private key required to access our cryptocurrency is irreversible. We also may temporarily lose access to our cryptocurrencies.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Bitcoin exchanges and wallets, and to a lesser extent, the Bitcoin network itself, may suffer from hacking and fraud risks, which may adversely erode user confidence in Bitcoin which would decrease the </w:t>
            </w:r>
            <w:r>
              <w:rPr>
                <w:rFonts w:ascii="Times New Roman;Times;serif" w:hAnsi="Times New Roman;Times;serif"/>
                <w:b w:val="false"/>
                <w:i w:val="false"/>
                <w:caps w:val="false"/>
                <w:smallCaps w:val="false"/>
                <w:sz w:val="20"/>
              </w:rPr>
              <w:t>demand for our products and services. Further, digital asset exchanges on which crypto assets trade are relatively new and largely unregulated, and thus may be exposed to fraud and failure. Incorrect or fraudulent cryptocurrency transactions may be irreversible.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subject to a highly-evolving regulatory landscape and any adverse changes to, or our failure to comply with, any laws and regulations could adversely affect our business, reputation, prospects or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tc>
      </w:tr>
    </w:tbl>
    <w:tbl>
      <w:tblPr>
        <w:tblW w:w="5871" w:type="dxa"/>
        <w:jc w:val="left"/>
        <w:tblInd w:w="0" w:type="dxa"/>
        <w:tblCellMar>
          <w:top w:w="28" w:type="dxa"/>
          <w:left w:w="28" w:type="dxa"/>
          <w:bottom w:w="28" w:type="dxa"/>
          <w:right w:w="28" w:type="dxa"/>
        </w:tblCellMar>
      </w:tblPr>
      <w:tblGrid>
        <w:gridCol w:w="124"/>
        <w:gridCol w:w="256"/>
        <w:gridCol w:w="5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subject to tax risks related to our multinational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interactions with a blockchain may expose us to specially designated nationals (“SDN”) or blocked persons or cause us to violate provisions of law that did not contemplate distribute ledger technology.</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Operations, Industry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cryptocurrency industry in which we operate is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Advances in Bitcoin mining-related technology have led to increased demand for higher speed and power efficiency for solving computational problems of increasing complexity. We need to invest significant resources in research and development in order to keep our services competitive in the market. Also, if we are unable to generate enough revenue or raise sufficient capital to make adequate research and development investments going forward, our service improvement and relevant research and development initiatives may be restricted or delayed, or we may not be able to keep pace with the latest market trends and satisfy our customers’ needs, which could materially and adversely affect our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research and development activities are inherently uncertain, and we might encounter practical difficulties in commercializing our research and development results, which could result in excessive research and development expenses or delays. Given the fast pace with which blockchain technologies have been and will continue to be developed, we may not be able to timely upgrade our technologies in an efficient and cost-effective manner, or at all. In addition, new developments relating to computing power (e.g., quantum computer), computing energy consumption, blockchain and cryptocurrency could render our services obsolete or unattractive. If we are unable to keep up with the technological developments and anticipate market trends, or if new technologies render our technologies or solutions obsolete, customers may no longer be attracted to our services. As a result, our business, results of operations and financial condition would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results of operations have been and are expected to continue to be significantly impacted by Bitcoin price fluctuation.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generate economic benefits (i.e., positive cash flow or profits) from Bitcoin mining is directly affected by the market price of Bitcoin. The Bitcoin price may impact the use of our mining machines. When the market price of a Bitcoin drops below certain thresholds, the operation of existing mining machines may not be economically beneficial for us. In addition, the depreciation and impairment potential of our mining machines may be affected by the volatility of the market prices of Bitcoin and other cryptocurrencies. On the other hand, a drop in Bitcoin price may also create an opportunity for us to add cheaper mining machines to our mining fleets.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appreciation potential of Bitcoin is high in general, which is due to several factors. Bitcoins are inherently scarce, given they are designed to have a finite supply of 21 million associated with a depreciating rewarding mechanism, termed “halving,” under which the reward for Bitcoin mining is reduced in half every four years. The growing recognition of Bitcoin also attracts large investment into the Bitcoin economy, as evidenced by an increasing installed network hash rate of Bitcoin globally, and increasing adoption of Bitcoin as an investment instrument and a payment method. Further, more countries are establishing clear and robust regulations to create a stable environment for Bitcoin mining and trading, which may facilitate the demand for Bitcoins and Bitcoin price appreciation.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Despite the general appreciation potential of Bitcoin, there are a number of other factors that contribute to changes in Bitcoin price and volatility, including, but not limited to, Bitcoin market sentiment, macroeconomic factors, utility of Bitcoin, and idiosyncratic events such as exchange outages or social media, some of which are beyond our control. For example, decentralization, or the lack of control by a central authority, is a key reason that cryptocurrencies like Bitcoin have attracted many committed users. However, the decentralized nature of Bitcoin is subject to growing discussion and suspicion. Some claim that most of the actual services and businesses built within the Bitcoin ecosystem are in fact centralized since they are run by specific people, in specific locations, with specific computer systems, and that they are susceptible to specific regulations. Individuals, companies or groups, as well as Bitcoin exchanges that own vast amounts of Bitcoins, can affect the market price of Bitcoin. For example, Bitcoin price has recently been adversely affected by the continued industry-wide fallout from the recent Chapter 11 bankruptcy filings of cryptocurrency exchanges FTX Trading Ltd., et al. (“FTX”) (including its affiliated hedge fund Alameda Research LLC), crypto hedge fund Three Arrows Capital (“Three Arrows”), crypto miners Compute North LLC (“Compute North”) and Core Scientific Inc. (“Core Scientific”) and crypto lenders Celsius Network LLC, et al. (“Celsius Network”), Voyager Digital Ltd., et al. (“Voyager Digital”) and BlockFi Inc., et al. (“BlockFi”). Furthermore, mining equipment production and mining pool locations are becoming centralized. Some argue that the decentralized nature of cryptocurrencies is a fundamental flaw rather than a strength. The suspicion about the decentralized nature of Bitcoin may cause the market to lose confidence in the prospect of the Bitcoin industry, which would adversely affect Bitcoin price. This in turn could adversely affect the market demand for our services and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Any future significant reductions in the price of Bitcoin will likely have a material and adverse effect on our results of operations and financial condition. There is no assurance that the Bitcoin price will remain high enough to sustain the demand for our hash rate sharing and hosting services or that the Bitcoin price will not decline significantly in the future. Furthermore, fluctuations in the Bitcoin price can have an immediate impact on the trading price of Class A Ordinary Shares. If the Bitcoin price drops, the expected economic return of Bitcoin mining activities will diminish, thereby resulting in a decrease in demand for our Bitcoin-related services, and in value appreciation from our proprietary mining activities. As a result, we may need to reduce the price of our </w:t>
      </w:r>
      <w:r>
        <w:rPr>
          <w:rFonts w:ascii="Times New Roman;Times;serif" w:hAnsi="Times New Roman;Times;serif"/>
          <w:i/>
          <w:sz w:val="20"/>
        </w:rPr>
        <w:t xml:space="preserve">Cloud Hash Rate </w:t>
      </w:r>
      <w:r>
        <w:rPr>
          <w:rFonts w:ascii="Times New Roman;Times;serif" w:hAnsi="Times New Roman;Times;serif"/>
          <w:sz w:val="20"/>
        </w:rPr>
        <w:t>and hosting services. For risks relating to the impact of Bitcoin price fluctuation on our growth trends, see the section entitled “— We may be unable to execute our growth strategies or effectively maintain our rapid growth trends” below.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supply of Bitcoins available for mining is limited and we may not be able to quickly adapt to new businesses when all the Bitcoins have been mined.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Bitcoins are inherently scarce, given they are designed to have a finite supply of 21 million associated with “halving” mechanism. The number of blocks that can be solved in a year is designed to be fixed, and the number of Bitcoins awarded for solving a block in the blockchain halves approximately every four years until the estimated complete depletion of Bitcoin available for mining by around 2140. When the Bitcoin network was first launched, the reward for validating a new block was 50 Bitcoins. In November 2012, the reward for validating a new block was reduced to 25 Bitcoins. In July 2016, the reward for validating a new block was reduced to 12.5 Bitcoins, and in May 2020, the reward was further reduced to 6.25 Bitcoins. The next halving for Bitcoin is expected in 2024 at block 840,000, when the reward will reduce to 3.125 Bitcoins. While the remaining Bitcoins are not designed to be entirely depleted in the near future, a decrease in the reward for solving a block or an increase in the transaction fees may result in a decrease in incentives for miners to continue their mining activities and the loss of Bitcoin’s dominant position among the cryptocurrencies, thereby reducing the demand for Bitcoin mining related services of us. As of the date of this annual report, the largest portion of our revenue was generated from our proprietary mining business and hash rate sales through </w:t>
      </w:r>
      <w:r>
        <w:rPr>
          <w:rFonts w:ascii="Times New Roman;Times;serif" w:hAnsi="Times New Roman;Times;serif"/>
          <w:i/>
          <w:sz w:val="20"/>
        </w:rPr>
        <w:t>Cloud Hash Rate,</w:t>
      </w:r>
      <w:r>
        <w:rPr>
          <w:rFonts w:ascii="Times New Roman;Times;serif" w:hAnsi="Times New Roman;Times;serif"/>
          <w:sz w:val="20"/>
        </w:rPr>
        <w:t xml:space="preserve"> which are associated with Bitcoin mining. We may not be able to quickly adapt to new businesses or expand to other cryptocurrencies when all the Bitcoins have been discovered or Bitcoin is replaced by other cryptocurrencies as the mainstream cryptocurrency, which will result in a significant negative impact on our business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Although we have an organic way of growing our mining fleets, our business is nevertheless capital intensive. We may need additional capital but may not be able to obtain it in a timely manner and on favorable terms or at all.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costs of constructing, developing, operating and maintaining cryptocurrency mining and hosting facilities, and owning and operating a large fleet of the latest generation mining equipment are substantial. Our operations may require additional capital or financing from time to time in order to achieve further growth. We may require additional cash resources due to the future growth and development of our business. Our future capital requirements may be substantial as we seek to expand our operations, diversify our product offering, and pursue acquisitions and equity investments. If our cash resources are insufficient to satisfy our cash requirements, we may seek to issue additional equity or debt securities or obtain new or expanded credit facilities or enter into additional factoring arrangements.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obtain external financing in the future may be subject to a variety of uncertainties, including our future financial condition, results of operations, cash flows and the liquidity of international capital and lending markets. While we face less working capital constraints as we expand our hash rate sharing business, which generates quicker cash payback, the proprietary mining business is nevertheless capital intensive. We may need additional capital if Bitcoin price increases as it will likely push up prices for supplies required for the proprietary mining business. However, in light of conditions impacting the industry, it may be more difficult for us to obtain equity or debt financing currently and/or in the future. Specifically, the crypto assets industry has been negatively impacted by recent events such as the bankruptcies of Compute North, Core Scientific, Alameda Research LLC, BlockFi, Celsius Network, Voyager Digital, Three Arrows and FTX.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Any indebtedness that we may incur in the future may also contain operating and financial covenants that could further restrict our operations. There can be no assurance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ordinary shares. Any failure to raise needed funds on terms favorable to us, or at all, could severely restrict our liquidity as well as have a material adverse effect on our business,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maintain our competitive position as cryptocurrency networks experience increases in the total network hash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the relative market price of a cryptocurrency, such as Bitcoin, increases, more companies are encouraged to mine for that cryptocurrency and as more mining machines are added to the network, its total hash rate increases. In order for us to maintain our competitive position under such circumstances, we must increase our total hash rate by acquiring and deploying more mining machines, including new mining machines with higher hash rates. There are currently only a few companies capable of producing a sufficient number of machines with adequate quality to address the increased demand. If we are not able to acquire and deploy additional mining machines on a timely basis, our proportion of the overall network hash rate will decrease and we will have a lower chance of solving new blocks which will have an adverse effect on our business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experienced negative cash flows from operating activities and incurred net losses in the past. We can provide no assurance of our future operating results.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had negative cash flows from operating activities in the amount of US$109.2 million, US$52.5 million and US$268.0 million for the years ended December 31, 2020, 2021 and 2022, respectively. We incurred a net loss of US$55.8 million and US$60.4 million for the years ended December 31, 2020 and 2022, respectively, and generated a net profit of US$82.6 million for the year ended December 31, 2021. We have generated negative cash flow from operating activities and incurred loss in the past, and there is no assurance that we will be able to generate positive cash flow from operating activities or achieve or subsequently maintain profitability in the future. We will need to generate and sustain increased revenue and net income levels in future periods in order to increase profitability, and, even if we do, we may not be able to maintain or increase our level of profitability over the long term. Our ability to achieve profitability and positive cash flow from operating activities will depend on a mix of factors, some of which are beyond our control, including the price of Bitcoin, our ability to operate and expand our business and manage our services mix, and our ability to secure favorable commercial terms from suppliers.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limited operating history and rapid revenue growth may make it difficult for us to forecast our business and assess the seasonality and volatility in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achieved rapid growth since our inception. For the years ended December 31, 2020, 2021 and 2022, our total revenue amounted to US$186.4 million, US$394.7 million and US$333.3 million, respectively. We may experience negative growth or positive growth at a lower rate for a number of possible reasons, including decreasing market price of cryptocurrencies, increasing competition, declining growth of the cryptocurrency industry, unforeseeable technology innovation, emergence of alternative mainstream cryptocurrencies, or changes in government policies, regulations or general economic conditions. It is also difficult to forecast seasonality and volatility in our business, and as a result accurately allocating resources including hash rate, mining datacenter capacity, or human capital to different business lines to achieve the best results in the medium or long term. If our growth rates decline, investors’ perceptions of our business and business prospects may be adversely affected and the market price of our ordinary shares could decline. In addition, given the volatile nature of cryptocurrencies and that our business and financial condition correlate with the market price of cryptocurrencies, it is difficult to evaluate our business and future prospects based on our limited operating history or historical performance.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experienced and may experience in the future hash rate loss during our operations due to factors beyond our control.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hash rate through operating our proprietary mining datacenters. To efficiently increase managing hash rate (i.e., proprietary hash rate and hosting hash rate), our efforts include constructing and expanding mining datacenters in prime locations globally, purchasing the latest mining machine models and continually optimizing operational efficiency of our mining datacenters and mining machines. However, hash rate generation is affected by factors beyond our control, including temperature, humidity, mining machine quality, the depreciation and deterioration of mining machines, the location of our mining machines globally, spare parts supply quality, quantity and timeliness, sudden surge in power price or sudden power outage,  maintenance team members’ lack of experience, unseen computer virus attack, etc. For example, we have experienced hash rate loss during 2021, primarily due to relocation of mining machines as well as unfavorable weather condition. In the future, we expect the risks of hash rate loss will remain, which may affect our business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associated with our need for significant electric power and the limited availability of power resources,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requires a significant amount of electric power. The costs of electric power account for a significant portion of our cost of revenue. We require a significant electric power supply to conduct our mining activity, to produce cloud hash rate and to provide hosting services such as powering and cooling our and our customers’ servers and network equipment and operating critical mining and hosting infrastructure.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has been a substantial increase in the demand for electricity for cryptocurrency mining, and this has had varying impacts on local electricity supply. Additionally, we currently rely on renewable sources of power and plan to increase our reliance on renewable sources of power in the future. Renewable power is generally an intermittent and variable source of electricity, which may not always be available. Because the electrical grid has very little storage capacity, the balance between electricity supply and demand must be maintained at all times to avoid a blackout or other cascading problem. Intermittent sources of renewable power are challenging because they disrupt the conventional methods for planning the daily operation of the electrical grid. Their power fluctuates over multiple time horizons, forcing the grid operator to adjust its day- ahead, hour-ahead, and real-time operating procedures.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 of power required by us and our customers will increase commensurately with the demand for our services and the increase in mining machines we operate for ourself and our hosting customers. Should our operations require more electricity than can be supplied in the areas where our mining facilities are located or should the electrical transmission grid and distribution systems be unable to provide the continuous, steady supply of electricity required, we may have to limit or suspend activities or reduce the speed of our proposed expansion, either voluntarily or as a result of either quotas imposed by energy companies or governments, or increased prices for certain users (such as the Company). If we are unable to procure electricity at a suitable price, we may have to shut down our operations in that particular jurisdiction either temporarily or permanently. Therefore, increased power costs and limited availability and curtailment of power resources will reduce our revenue and have a material and adverse effect on our cost of revenue and results of operations. Although we aim to build and operate energy efficient facilities, there can be no assurance such facilities will be able to deliver sufficient power to meet the growing needs of our business. If we are unable to receive adequate power supply and is forced to reduce our operations due to the availability or cost of electrical power, our business would experience materially negative impacts.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government actors have begun to intervene with the supply of electrical energy to cryptocurrency miners. For example, recently on March 9, 2023, the Department of the Treasury published General Explanations of the Administration’s Fiscal Year 2024 Revenue Proposals, in which it proposed imposing a 30% excise tax on electricity usage by digital asset miners. Governments or government regulators may potentially restrict electricity suppliers from providing electricity to mining datacenter in times of electricity shortage increase the cost, including through taxation, of, electricity, or may otherwise potentially restrict or prohibit the provision of electricity to businesses like us. In the event government regulators issue moratoriums or impose bans or restrictions involving hosting operations or transaction processing in jurisdictions in which we operate, we will not be able to continue our operations in such jurisdictions. A moratorium ban or restriction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our cryptocurrency mining machines would be materially adversely affected by a power outage. Energy costs and availability are vulnerable to risks of outages and power grid damage as a result of inclement weather, animal incursion, sabotage and other events out of our control. Because the mining portion of our business consumes a large amount of energy, it is not practical or economical for our operations to run on back-up generators in the event of a power outage, which may be caused by weather, acts of God, wild fires, pandemics, falling trees, falling distribution poles and transmission towers, transmission and distribution cable cuts, other force majeure events in the electricity and natural gas markets and/or the negligence or malfeasance of others. Any system downtime resulting from insufficient power resources or power outages could have a material adverse effect on our business,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accurately estimate the factors upon which we base our contract pricing, we may generate less profit than expected or incur losses on those contracts,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 hash rate and hosting contracts are generally priced taking into account various factors including the then Bitcoin price, network hash rate, purchase cost of mining machines, estimated power consumption by our clients, along with other costs of products or services, as adjusted for actual costs. Our ability to earn a profit on such contracts requires that we accurately estimate the costs involved and outcomes likely to be achieved and assess the probability of generating sufficient hosting and colocation capacity within the contracted time period. Our pricing of hash rates may cause significantly lower income than we could have generated through using the same hash rates for proprietary mining. We may also not be able to accurately forecast the outcome of selling our products and services at a particular price and the inability to accurately estimate the factors upon which we base our contract pricing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broad discretion regarding pricing strategy and resource allocation and may exercise related business judgments in a way that you may not agree with. Such judgments may not achieve the best possible outcome for our business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operations involve constant and important decision-making regarding the pricing of our services and allocation of mining resources. We take into account our estimates of market trends when determining pricing strategies. To achieve profitability in the long run, we may offer lower price in order to acquire and retain new customers, even if this pricing does not allow us to maximize our short-term revenue. As we operate three business lines, we have to decide the allocation of proprietary hash rate between “proprietary mining” and “hash rate sharing” as well as the allocation of mining datacenter capacity among “proprietary mining,” “hash rate sharing” and “hosting.” While allocating more mining resources to “hash rate sharing” and “hosting” services may facilitate cash payback and mining datacenter expansion while lower risk exposure associated with Bitcoin price volatility, we have to forgo our huge appreciation potential to some extent as we could earn more Bitcoins by allocating the same mining resources to “proprietary mining,” and vice versa. We spend great efforts in making these business decisions in the Company’s best interest, taking into account Bitcoin price, network hash rate, the amount of cash we need and our view on the market opportunities for acquiring mining machines or expanding mining datacenters at low cost, etc. However, we cannot guarantee that our decisions could generate the most revenue or offer the strongest downside protection for the Company. If we cannot accurately estimate any of the aforementioned factors upon which we base, our contract pricing could have a material adverse effect on our business, financial condition and results of operation.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intense competition and our competitors may employ aggressive pricing strategies, which can lead to a price reduction of our solutions and services and material adverse effect on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operate in highly competitive industries for cryptocurrency mining and related services, and we may look to enter into markets with very competitive landscapes. Our competitors include many well-known worldwide players, and we face competitors that are larger than ourselves and have advantages over ourselves in terms of economies of scale and financial and other resources. We expect that competition in our markets will continue to be intense.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Intense competition from existing and potential competitors could result in material price reductions in the products we sell or a decrease in our market share. Aggressive pricing strategies by our competitors and an abundant supply of hash rate sharing or hosting services in the market may cause us to reduce the prices of our services and also negatively affect the demand for our services or harm our profitability. If we fail to compete effectively and efficiently or fail to adapt to changes in the competitive landscape, our business, financial condition, and results of operations may be materially and adversely affected.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average selling prices of our solutions and services may fluctuate from time to time due to technological advancement and we may not be able to pass onto our machine suppliers such decreases, which may in turn adversely affect our profitability.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Bitcoin-related industry is characterized by rapid launches of new products, continuous technological advancements and changing market trends and customer preferences, all of which may translate to fluctuations in the average selling prices of products or services over time. Because we compete in an environment of rapidly evolving technology advancement, market trends and developments of the hash rate sharing and hosting industry, there is no assurance that we will be able to pass on any decrease in average selling prices of our services to our suppliers in a timely manner or at all. In the event that average selling prices of our services unusually or significantly decrease, and such decreases cannot be offset by a corresponding decrease in the prices of the principal components of our services, our gross profit margins may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are uncertainties over the outcome of our mining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mining operation comprises blockchain mining technologies that depend on a network of computers to run certain software programs to solve complex transactions in competition with other mining operations and to process transactions. Because of this less centralized model and the complexity of our mining operation, there are uncertainties over the likelihood of winning a block reward and hence the outcome of our mining operations. While we participate in mining pools to combine our mining operations with other mining participants to increase processing power to solve blocks, there can be no assurance that such pools will adequately address this risk.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development of blockchain technology and cryptocurrency is in its early stage and any adverse development in the cryptocurrency or blockchain market could adversely affect our business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Blockchain is a voluntary open network that can be used by anyone with devices connected to the internet. It allows every node to create immutable data, transparent record of transactions and peer-to-peer transactions in an efficient, secure and trust-free manner. Because of such advantages, blockchain can be applied to various industries and activities, such as cryptocurrency, payment, financial services, Internet-of-Things (IoT), cloud computing and cybersecurity, among others. However, there can be no assurance of such acceptance in the society. There may not be strong market demand for our mining services as a key and important process during the application process of blockchain technology, and our prospects, business and results of operations can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Adverse developments in the blockchain industry could lead to a decrease in the demand for hash rate products and hosting resources,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risks including those related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decline in the adoption and use of Bitcoin and other similar cryptocurrencies within the technology industry or a decline in value of cryptocurrencies;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increased costs of complying with existing or new government regulations applicable to cryptocurrencies and other factors;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downturn in the market for blockchain hosting space generally, which could be caused by an oversupply of or reduced demand for blockchain space;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transition by our customers of blockchain hosting from third-party providers like the Company to customer-owned and operated facilities;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rapid development of new technologies or the adoption of new industry standards that render us or our customers’ current products and services obsolete or unmarketable and, in the case of our customers, that contribute to a downturn in their businesses, increasing the likelihood of a default under their service agreements or their becoming insolvent;</w:t>
            </w:r>
          </w:p>
        </w:tc>
      </w:tr>
    </w:tbl>
    <w:tbl>
      <w:tblPr>
        <w:tblW w:w="8526" w:type="dxa"/>
        <w:jc w:val="left"/>
        <w:tblInd w:w="0" w:type="dxa"/>
        <w:tblCellMar>
          <w:top w:w="28" w:type="dxa"/>
          <w:left w:w="28" w:type="dxa"/>
          <w:bottom w:w="28" w:type="dxa"/>
          <w:right w:w="28" w:type="dxa"/>
        </w:tblCellMar>
      </w:tblPr>
      <w:tblGrid>
        <w:gridCol w:w="124"/>
        <w:gridCol w:w="256"/>
        <w:gridCol w:w="8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slowdown in the growth of the internet generally as a medium for commerce and communication;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availability of an adequate supply of new generation cryptocurrency mining equipment to enable us to mine cryptocurrencies at scale and for customers who want to purchase hash rate from us or host with us to be able to do so;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536" w:type="dxa"/>
        <w:jc w:val="left"/>
        <w:tblInd w:w="0" w:type="dxa"/>
        <w:tblCellMar>
          <w:top w:w="28" w:type="dxa"/>
          <w:left w:w="28" w:type="dxa"/>
          <w:bottom w:w="28" w:type="dxa"/>
          <w:right w:w="28" w:type="dxa"/>
        </w:tblCellMar>
      </w:tblPr>
      <w:tblGrid>
        <w:gridCol w:w="124"/>
        <w:gridCol w:w="25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degree of difficulty in mining cryptocurrencies and the trading price of such assets.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Bitcoin, a mainstream cryptocurrency based upon blockchain technology, was first introduced in 2008 and is generally regarded as the first application of the blockchain technology. The Bitcoin network and its surrounding ecosystem is still in a relatively early development stage. Cryptocurrencies have only recently become selectively accepted as a means of payment for goods and services by many industries, and use of cryptocurrency by consumers to pay in such industries remains limited. In addition, there may be some jurisdictions that restrict the use of Bitcoins and other cryptocurrencies as a medium of exchange and the conversion between cryptocurrencies and fiat currencies. There is no assurance that usage of cryptocurrencies, in particular Bitcoins, will continue to grow. As our business focuses on proprietary cryptocurrency mining and serving cryptocurrency miners, and relies heavily on the cryptocurrency market, any lack of usage of or fade in the public interest for cryptocurrency may adversely affect our business, future prospects,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associated with legal, political or other conditions or developments regarding holding, using or mining of cryptocurrencies, in particular Bitcoins, which could negatively affect our business, results of operations and financial position.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are based globally. As such, changes in government policies, taxes, general economic and fiscal conditions, as well as political, diplomatic or social events, expose us to financial and business risks. In particular, changes in policies and laws regarding holding, using and/or mining of Bitcoins could result in an adverse effect on our business operations and results of operations. Moreover, if any international jurisdiction where we operate mining datacenters or sell our Bitcoin mining related services prohibits or restricts Bitcoin mining activities, we may face legal and other liabilities and will experience a material loss of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significant uncertainties regarding future regulations pertaining to the holding, using or mining of Bitcoins, which may adversely affect our results of operations. While Bitcoin has gradually gained more market acceptance and attention, it is anonymous and may be used for black market transactions, money laundering, illegal activities or tax evasion. As a result, governments may seek to regulate, restrict, control or ban the mining, use and holding of Bitcoins. Our existing policies and procedures for the detection and prevention of money laundering and terrorism-funding activities through our business activities have only been adopted in recent years and may not completely eliminate instances in which we or our services may be used by other parties to engage in money laundering and other illegal or improper activities. We are subject to anti-money laundering laws in many jurisdictions in which we operate. We cannot assure you that there will not be a failure in detecting money laundering or other illegal or improper activities which may adversely affect our reputation,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With advances in technology, cryptocurrencies are likely to undergo significant changes in the future. It remains uncertain whether Bitcoin will be able to cope with, or benefit from, those changes. In addition, as Bitcoin mining employs sophisticated and high computing power devices that need to consume a lot of electricity to operate, future developments in the regulation of energy consumption, including possible restrictions on energy usage in the jurisdictions where we sell our products or services, may also affect our business operations and the demand for our current and future mining related products or services, including cloud hash rate, hosting and </w:t>
      </w:r>
      <w:r>
        <w:rPr>
          <w:rFonts w:ascii="Times New Roman;Times;serif" w:hAnsi="Times New Roman;Times;serif"/>
          <w:i/>
          <w:sz w:val="20"/>
        </w:rPr>
        <w:t>Minerplus</w:t>
      </w:r>
      <w:r>
        <w:rPr>
          <w:rFonts w:ascii="Times New Roman;Times;serif" w:hAnsi="Times New Roman;Times;serif"/>
          <w:sz w:val="20"/>
        </w:rPr>
        <w:t>. There have been public backlashes surrounding the environmental impacts of Bitcoin mining, particularly the large consumption of electricity, and governments of various jurisdictions have responded. For example, in the United States, certain local governments of the State of Washington have discussed measures to address environmental impacts of Bitcoin-related operations, such as the high electricity consumption of Bitcoin mining activities.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Substantial increases in the supply of mining machines connected to the Bitcoin network would lead to an increase in network hash rate capacity, which in turn would increase mining difficulty. This development would negatively affect the economic returns of Bitcoin mining activities, which would decrease the demand for and/or pricing of our products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difficulty of Bitcoin mining, or the amount of computational resource required for a set amount of reward for recording a new block, directly affects the expected economic returns for Bitcoin miners, which in turn affects our proprietary mining business and the demand for our Bitcoin mining related products and services including hash rate sharing and hosting. Bitcoin mining difficulty is a measure of how much computing power is required to record a new block and it is affected by the total amount of computing power in the Bitcoin network. The Bitcoin algorithm is designed to the effect that one block is generated, on average, every ten minutes, no matter how much computing power is in the network. Thus, as more computing power joins the network, and assuming the rate of block creation does not change (remaining at one block generated every ten minutes), the amount of computing power required to generate each block and hence the mining difficulty increases. In other words, based on the current design of the Bitcoin network, Bitcoin mining difficulty would increase together with the total computing power available in the Bitcoin network, which is in turn affected by the number of Bitcoin mining machines in operation. As a result, a strong growth in promotion of Bitcoin computing power supply services can contribute to further growth in the total computing power in the network, thereby driving up the difficulty of Bitcoin mining and resulting in downward pressure on the expected economic return of Bitcoin mining and the demand for, and pricing of, our products and services.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highly dependent on acquiring a sufficient number of cryptocurrency mining equipment from our suppliers. We may not be able to obtain new mining hardware or purchase such hardware at competitive prices during times of high demand,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highly dependent upon cryptocurrency mining equipment suppliers providing an adequate supply of new generation cryptocurrency mining machines at economical prices to support our proprietary mining, hash rate sharing and hosting business lines and our customers’ mining activities. The growth in our business is directly related to increased demand for hosting services and cryptocurrencies such as Bitcoin which is dependent in large part on the availability of new generation mining machines offered for sale at a price conducive to profitable cryptocurrency mining, as well as the trading price of cryptocurrencies such as Bitcoin. The market price and availability of new mining machines fluctuates with the price of Bitcoin and can be volatile.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an increase in interest and demand for cryptocurrencies has led to a shortage of mining hardware and increased prices. In addition, as more companies seek to enter the mining industry, the demand for machines may outpace supply and create mining machine equipment shortages. There is no assurance that cryptocurrency mining equipment suppliers will be able to keep pace with any surge in demand for mining equipment. We and our customers and the potential customers of our hosting service may in the future experience difficulty in obtaining new equipment or replacement components for our and their existing equipment, including graphics processing units and application-specific integrated circuit chipsets and computer servers, which in the future may have, a material impact on the demand for our products and services and associated revenue. Further, we may have little or no recourse in the event a mining machine manufacturer or distributor defaults on our mining machine delivery commitments. If we and our customers are not able to obtain a sufficient number of cryptocurrency mining machines at favorable prices, our growth expectations, liquidity, financial condition and results of operations will be negatively impacted.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supplies from a single or a group of third-party electricity, mining pool services and mining machines providers, and any negative incidents caused by actions taken by them that are outside of our control may adversely impact our business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some extent, we currently rely on a single or a group of third-party suppliers and service providers to provide quality services to customers. Our brand and reputation may be harmed by actions taken by such third parties that are outside of our control. For example, we are currently contracting with one electricity supplier to support each of our mining datacenters in Norway, as well as Texas, Tennessee and Washington in the United States, respectively. Pursuant to our agreement with our electricity supplier for the mining datacenter in Hustadvika municipality, Norway, we agree to purchase power at the amount and price designated in the contract, during the period from January 1, 2022 to December 31, 2024, which is the term of this agreement. Pursuant to our agreement with our electricity supplier for the mining datacenter in Tydal municipality, Norway, we agree to purchase power at the amount and price designated in the contract, during the period from September 1, 2022 to December 31, 2024, which is the term of this agreement. Both agreements can be completely terminated with zero load ending at midnight of the final day in each quarter. Pursuant to our agreement with our electricity supplier for the mining datacenter in Texas, the supplier shall provide electricity to meet full electricity requirements of the two electricity service accounts identified by us. This contract is effective through December 31, 2027 and is terminable in the event of default. Pursuant to our agreement with our electricity supplier for mining datacenter in Tennessee, the supplier shall make power available to us in the amount designated in the contract. Valid through July 31, 2026, this contract is automatically renewed for additional five years upon expiration of the initial term, unless either party notifies the other in writing not less than 60 days prior to the expiration date of the initial term or any renewal term of its desire to terminate this contract on such expiration date. Pursuant to our agreement with our electricity supplier for mining datacenter in Washington, the supplier shall provide power and associated energy to meet our demand at rates that are subject to adjustment, modification, change or replacement from time to time. This contract remains effective until terminated upon six months prior written notice by us. While we believe that alternative suppliers are readily available in the market, changing to a new supplier may require additional costs and time. We also source mining machines from a wide variety of manufacturers and traders with whom we have built relationships over the years. The prices of mining machines were negotiated on an individual basis, and the agreements typically allow for termination upon either party’s uncured material breach, suspension of all or a substantial part of its business, deterioration of its financial position, or upon insolvency proceedings against either party. In addition, these agreements may include indemnification provisions either for benefit of us, or for benefit of the manufacturers and traders. Each agreement requires manufacturers and traders to repair or replace the defective part/component of mining machines at no charge to us. Despite the measures we have taken to ensure the quality of products and services provided by third-party suppliers and service providers, to the extent they are unable to maintain their production facilities’ efficiency, supply sufficient products in a timely manner, or provide satisfactory products and services to our customers, which may be due to events that are beyond our or their control, such as manufacturing defects, we may suffer reputational damage, and our business, financial condition and results of operations may be materially and adversely affected. While we have not experienced such incidents that had a material adverse impact on our business as of the date of this annual report, as such incidents are beyond our control, there is no assurance that such incidents will not occur in the future regardless of the measures we have taken, and will take, to maintain the quality products and services provided by third-party suppliers and service providers. If we are unable to effectively address these risks, our brand image, reputation and financial performance may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Additionally, we utilize third-party mining pools to receive our mining rewards from a given network. Mining pools allow mining participants to combine their processing power, which increases the chances of solving a block and getting paid by the network. The rewards are distributed by the pool operators, proportionally to our contribution to the pools’ overall mining power used to solve a block. We entered into agreements with mining pool operators who deliver cryptocurrency rewards to accounts of us or our customers in exchange for hash rate provided by us and our </w:t>
      </w:r>
      <w:r>
        <w:rPr>
          <w:rFonts w:ascii="Times New Roman;Times;serif" w:hAnsi="Times New Roman;Times;serif"/>
          <w:i/>
          <w:sz w:val="20"/>
        </w:rPr>
        <w:t>Cloud Hash Rate</w:t>
      </w:r>
      <w:r>
        <w:rPr>
          <w:rFonts w:ascii="Times New Roman;Times;serif" w:hAnsi="Times New Roman;Times;serif"/>
          <w:sz w:val="20"/>
        </w:rPr>
        <w:t xml:space="preserve"> customers. The agreements are terminable through mutual agreement between both parties or due to a breach of the contract which is not cured within two days upon receiving notice from the non-breaching party. Due to the competitiveness of the global mining pool industry, we believe that we will be able to promptly access alternative mining pools if needed. Nevertheless, we are dependent on the accuracy of a mining pool operator’s record keeping to accurately record the total processing power provided to the pool for a given Bitcoin or other cryptocurrency mining application in order to assess the proportion of that total processing power we provided. While we have internal methods of tracking both our power provided and the total power used by the pool, the mining pool operator uses its own record-keeping to determine our proportion of a given reward. We have little means of recourse against the mining pool operator if we determine the proportion of the reward paid out to us by a mining pool operator is incorrect, other than leaving the pools or entering into a lengthy negotiation with the third-party mining pools to get back the fair rewards. If we are unable to consistently obtain accurate proportionate rewards from our mining pool operators, we may experience reduced reward for our efforts, which would have an adverse effect on our business and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keep our solutions and services up-to-date in line with the approximate level of market demand could cause us to lose sales,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operate our business successfully and meet the demands and expectations of our customers, we must maintain a certain level of equipment, including but not limited to mining machines, to sustain large scale service when required. Furthermore, we are required to maintain an appropriate level of equipment for any unexpected emergency substitute or in preparation of potential outage and sudden service loss. However, forecasts are inherently uncertain. If our forecasted demand is lower than actual demand or our risk estimate is much sufficient, we may not be able to provide our customers with sufficient hash rate sharing or hosting services in a timely manner, and we may lose sales and market share to our competitors.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unable to execute our growth strategies or effectively maintain our rapid growth trends.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growth and expanded our business in recent years. Our total net revenue increased from US$186.4 million in 2020 to US$394.7 million in 2021 and US$333.3 million in 2022. We incurred a net loss of US$55.8 million and US$60.4 million for the years ended December 31, 2020 and 2022, respectively, and generated a net profit of US$82.6 million for the year ended December 31, 2021. We may not be able to grow our revenue and achieve profitability in the future if we are not able to successfully execute our product development and diversification, geographic expansion and other growth plans. In addition, our rapid growth has placed and will continue to place significant demands on our management and our administrative, operational, research and development and financial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accomplish our growth strategies and manage the future growth of our operations, we will be required to enhance our research and development capabilities, improve our operational and financial systems, and expand, train and manage our growing employee base. Furthermore, we need to maintain and expand our relationships with our customers, suppliers, research institutions, third-party manufacturers and other third parties. Moreover, as we introduce new products or services or enter new markets, we may face new market, technological, operational and regulatory risks and challenges with which we are unfamiliar. Our current and planned operations, personnel, systems, internal procedures and controls may not be adequate to support our future growth and expansion. In addition, the success of our growth strategies depends on a number of external factors, such as the development of the cryptocurrency market and the demand for Bitcoin, the level of competition we face and evolving customer behavior and preferences. If we are unable to execute our growth strategies or manage our growth effectively, we may not be able to capture market opportunities or respond to competitive pressures, which may materially and adversely affect our business prospects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our ability to generate profits and/or positive cash flow is correlated to the current and future market prices of cryptocurrencies and a decline in the market prices for cryptocurrencies could negatively impact our future operations. For example, the decreases in Bitcoin price in 2022 resulted from the FTX bankruptcy is expected to negatively impact our mining yields. However, we believe that, as compared to many other participants in the crypto assets markets, we are more resilient to cryptocurrency price volatility as our “hash rate sharing” and “hosting” businesses allow us to smooth the impact of cryptocurrency price volatility.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also face risks associated with the expansion of our operations overseas. See the section entitled “— We face risks associated with the expansion of our scale of operations globally, and if we are unable to effectively manage these risks, they could impair our ability to expand our business abroad.” If we are not able to manage our growth or execute our strategies effectively, our expansion may not be successful and our business and prospects may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risks associated with the expansion of our scale of operations globally, and if we are unable to effectively manage these risks, they could impair our ability to expand our business abroad.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operate our business globally, with customers and suppliers located in various countries. As we continue to grow our business and expand our operations globally, we will continue to sell our products and services into new jurisdictions in which we have limited or no experience and in which our brands may be less recognized. Our global operation exposes us to a number of risks, including:</w:t>
      </w:r>
    </w:p>
    <w:tbl>
      <w:tblPr>
        <w:tblW w:w="7701" w:type="dxa"/>
        <w:jc w:val="left"/>
        <w:tblInd w:w="0" w:type="dxa"/>
        <w:tblCellMar>
          <w:top w:w="28" w:type="dxa"/>
          <w:left w:w="28" w:type="dxa"/>
          <w:bottom w:w="28" w:type="dxa"/>
          <w:right w:w="28" w:type="dxa"/>
        </w:tblCellMar>
      </w:tblPr>
      <w:tblGrid>
        <w:gridCol w:w="124"/>
        <w:gridCol w:w="256"/>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limited customer base and limited sales and relationships with international customers;</w:t>
            </w:r>
          </w:p>
        </w:tc>
      </w:tr>
    </w:tbl>
    <w:tbl>
      <w:tblPr>
        <w:tblW w:w="4476" w:type="dxa"/>
        <w:jc w:val="left"/>
        <w:tblInd w:w="0" w:type="dxa"/>
        <w:tblCellMar>
          <w:top w:w="28" w:type="dxa"/>
          <w:left w:w="28" w:type="dxa"/>
          <w:bottom w:w="28" w:type="dxa"/>
          <w:right w:w="28" w:type="dxa"/>
        </w:tblCellMar>
      </w:tblPr>
      <w:tblGrid>
        <w:gridCol w:w="124"/>
        <w:gridCol w:w="256"/>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0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difficulty in managing multinational operations;</w:t>
            </w:r>
          </w:p>
        </w:tc>
      </w:tr>
    </w:tbl>
    <w:tbl>
      <w:tblPr>
        <w:tblW w:w="8481" w:type="dxa"/>
        <w:jc w:val="left"/>
        <w:tblInd w:w="0" w:type="dxa"/>
        <w:tblCellMar>
          <w:top w:w="28" w:type="dxa"/>
          <w:left w:w="28" w:type="dxa"/>
          <w:bottom w:w="28" w:type="dxa"/>
          <w:right w:w="28" w:type="dxa"/>
        </w:tblCellMar>
      </w:tblPr>
      <w:tblGrid>
        <w:gridCol w:w="124"/>
        <w:gridCol w:w="256"/>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1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competitors in overseas markets who have stronger ties with local customers and greater resources;</w:t>
            </w:r>
          </w:p>
        </w:tc>
      </w:tr>
    </w:tbl>
    <w:tbl>
      <w:tblPr>
        <w:tblW w:w="3771" w:type="dxa"/>
        <w:jc w:val="left"/>
        <w:tblInd w:w="0" w:type="dxa"/>
        <w:tblCellMar>
          <w:top w:w="28" w:type="dxa"/>
          <w:left w:w="28" w:type="dxa"/>
          <w:bottom w:w="28" w:type="dxa"/>
          <w:right w:w="28" w:type="dxa"/>
        </w:tblCellMar>
      </w:tblPr>
      <w:tblGrid>
        <w:gridCol w:w="124"/>
        <w:gridCol w:w="256"/>
        <w:gridCol w:w="3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fluctuations in currency exchange rates;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446" w:type="dxa"/>
        <w:jc w:val="left"/>
        <w:tblInd w:w="0" w:type="dxa"/>
        <w:tblCellMar>
          <w:top w:w="28" w:type="dxa"/>
          <w:left w:w="28" w:type="dxa"/>
          <w:bottom w:w="28" w:type="dxa"/>
          <w:right w:w="28" w:type="dxa"/>
        </w:tblCellMar>
      </w:tblPr>
      <w:tblGrid>
        <w:gridCol w:w="124"/>
        <w:gridCol w:w="256"/>
        <w:gridCol w:w="7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challenges in providing customer products and services and support in these markets;</w:t>
            </w:r>
          </w:p>
        </w:tc>
      </w:tr>
    </w:tbl>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challenges in managing our overseas sales force and implementing sales strategies effectively;</w:t>
            </w:r>
          </w:p>
        </w:tc>
      </w:tr>
    </w:tbl>
    <w:tbl>
      <w:tblPr>
        <w:tblW w:w="8526" w:type="dxa"/>
        <w:jc w:val="left"/>
        <w:tblInd w:w="0" w:type="dxa"/>
        <w:tblCellMar>
          <w:top w:w="28" w:type="dxa"/>
          <w:left w:w="28" w:type="dxa"/>
          <w:bottom w:w="28" w:type="dxa"/>
          <w:right w:w="28" w:type="dxa"/>
        </w:tblCellMar>
      </w:tblPr>
      <w:tblGrid>
        <w:gridCol w:w="124"/>
        <w:gridCol w:w="256"/>
        <w:gridCol w:w="8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unexpected transportation delays or interruptions or increases in international transportation costs;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difficulties in and costs of exporting products overseas while complying with the different commercial, legal and regulatory requirements of the overseas markets in which we offer our products and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regulations, changes to regulation, regulatory uncertainty in or inconsistent regulations across various jurisdictions that may implicate cryptocurrency mining and other cryptocurrency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difficulty in ensuring the compliance with the sanctions imposed by The Office of Financial Assets Control of the U.S. Department of Treasury (“OFAC”), the European Union or the United Nations Security Council on various foreign states, organizations and individuals;</w:t>
            </w:r>
          </w:p>
        </w:tc>
      </w:tr>
    </w:tbl>
    <w:tbl>
      <w:tblPr>
        <w:tblW w:w="8916" w:type="dxa"/>
        <w:jc w:val="left"/>
        <w:tblInd w:w="0" w:type="dxa"/>
        <w:tblCellMar>
          <w:top w:w="28" w:type="dxa"/>
          <w:left w:w="28" w:type="dxa"/>
          <w:bottom w:w="28" w:type="dxa"/>
          <w:right w:w="28" w:type="dxa"/>
        </w:tblCellMar>
      </w:tblPr>
      <w:tblGrid>
        <w:gridCol w:w="124"/>
        <w:gridCol w:w="256"/>
        <w:gridCol w:w="8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inability to obtain, maintain or enforce intellectual property rights in all the jurisdictions we operate in;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inability to effectively enforce contractual or legal rights or intellectual property rights in certain jurisdictions under which we operate;</w:t>
            </w:r>
          </w:p>
        </w:tc>
      </w:tr>
    </w:tbl>
    <w:tbl>
      <w:tblPr>
        <w:tblW w:w="7806" w:type="dxa"/>
        <w:jc w:val="left"/>
        <w:tblInd w:w="0" w:type="dxa"/>
        <w:tblCellMar>
          <w:top w:w="28" w:type="dxa"/>
          <w:left w:w="28" w:type="dxa"/>
          <w:bottom w:w="28" w:type="dxa"/>
          <w:right w:w="28" w:type="dxa"/>
        </w:tblCellMar>
      </w:tblPr>
      <w:tblGrid>
        <w:gridCol w:w="124"/>
        <w:gridCol w:w="256"/>
        <w:gridCol w:w="7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a specific country or region’s political or economic conditions or policies;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governmental policies favoring domestic companies in certain foreign markets or trade barriers including export requirements, tariffs, taxes and other restrictions and charges. In particular, there have been concerns over the worldwide populism trend that call for protectionism trade policy and potential international trade disputes, all of which could cause turbulence in the international markets. </w:t>
            </w:r>
            <w:r>
              <w:rPr>
                <w:rFonts w:ascii="Times New Roman;Times;serif" w:hAnsi="Times New Roman;Times;serif"/>
                <w:b w:val="false"/>
                <w:i w:val="false"/>
                <w:caps w:val="false"/>
                <w:smallCaps w:val="false"/>
                <w:sz w:val="20"/>
              </w:rPr>
              <w:t>These government policies or trade barriers could increase the prices of our products and services and make us less competitive in such countries.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unable to effectively manage these risks, our ability to operate and expand our business will be impaired, which could have a material adverse effect on our business, financial condition, results of operations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we expand and localize our international activities, we have become increasingly obligated to comply with the laws, rules, regulations, policies and legal interpretations not only the jurisdictions in which we operate but also those into which we offer services on a cross-border basis. Laws regulating financial services, the internet, mobile technologies, crypto, and related technologies outside the United States often impose different, more specific, or even conflicting obligations on us, as well as broader liability.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Regulators worldwide frequently study each other’s approaches to the regulation of the crypto 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is possible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daily operations of all our business lines require the support of our mining datacenters, with a highly specialized infrastructure and considerable, reliable power in order to compete effectively. We intend to increase our mining capacity and increase substantially the number of mining machines we operate. In order to meet our financial plan, we need to expand our existing mining datacenters or obtain suitable land to build new mining datacenters. We may face challenges in obtaining suitable land, as we need to work closely with the local power suppliers and local governments of the places where our proposed facilitates are located. Delays in actions that require the assistance of such third parties, in receiving required permits and approvals or in mediations with local communities, if any, may negatively impact our construction timelines and budget or result in any new facilities not being completed at all.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plan to expand our footprints to more mining datacenters across the globe to increase our total capacity to approximately 1,524MW, including 179MW power supply currently under construction and 550MW power supply “in the pipeline,” contracted or negotiated but not yet under active construction. Such expansion and construction require us to rely on the experience of one or more designers, general contractors and subcontractors, and such designers or contractors may experience financial or other problems during the design or construction process. We may also experience quality control issues as we implement any upgrades in our hosting capacity through the installation and maintenance of chipsets and servers or new cooling technologies such as immersion and water curtain cooling. our business will be negatively impacted if we are unable to run our mining operations in a way that is technologically advanced, economically and energy- efficient and temperature controlled. If we are unsuccessful, we will damage our mining machines and the mining machines of third parties and the profitability of our mining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experience significant delays in the supply of power required to support any mining datacenter expansion or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delay our ability to supply cloud hash rate and deliver our hosting capacity, cause us to incur penalties under hosting contracts, result in reduced order volume and materially adversely affect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of our solutions or services to meet the necessary quality standards could adversely affect our reputation, business and results of operation.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quality of the products and services we are providing is critical to the success of our business and depends significantly on the effectiveness of our and our manufacturing service providers’ quality control systems. In our efforts to quickly meet new market trends and demand and adopt new technologies, our products and services may not have adequate time to go through our normal rigorous testing procedures and final inspection, which could result in instances where our products and services cannot reach the required performance standard, or our products and services are found to be defective or significantly unsatisfying. These instances could result in our customers suffering losses. Defects detected before products and services performance to our customers may result in additional costs for remediation and rework. Defects detected after the performance of our products and services may result in our incurring further costs relating to inspection, installation or remediation, which may result in damages to our reputation, loss of customers, government fines and disputes and litigation.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the other hand, we may have to turn to less reputable suppliers if we cannot source adequate equipment or other supplies from our regular suppliers. Under such circumstances, the quality of the equipment may suffer and could cause performance issues in our products and services. Shortages of supplies could result in reduced production or delays in production, as well as an increase in costs, which may negatively affect our abilities to fulfill orders or provide timely services to customers, as well as our customer relationships and profitability. Supplies shortages may also increase our costs of revenue because we may be required to pay higher prices for products in short supply, without being able to pass such cost to customers. As a result, our business, results of operations and reputation could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outage or shortages, labor disputes and other factors may result in constraints on our business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have not experienced constraints on our business activities, including at our mining datacenters, due to power outage or shortages, labor disputes or other factors. However, there can be no assurance that our operations will not be affected by power outage or shortages, labor disputes or other factors in the future, thereby causing material disruptions and delays in our delivery schedule. In such an event, our business, results of operations and financial condition could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maintain or enhance our brand recognition, our business, financial condition and results of operations may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Maintaining and enhancing the recognition, image and acceptance of our brand are important to our ability to differentiate our products and services from and to compete effectively with our peers. As we rely heavily on word-of-mouth branding, our brand image could be jeopardized if we fail to maintain high product and service quality, pioneer and keep pace with evolving technology trends, or timely fulfil the orders for our products and services. If we fail to promote our brand or to maintain or enhance the brand recognition and awareness among our customers, or if we are subject to events or negative allegations affecting our brand image or publicly perceived position of our brand, our business, operating results and financial condition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at a higher risk of litigation and other legal proceedings due to heightened regulatory scrutiny of the cryptocurrency industry, which could ultimately be resolved against us, requiring material future cash payments or charges, and accordingly impair our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size, nature and complexity of our business could make us susceptible to various claims, both in litigation and binding arbitration proceedings, legal proceedings, and government investigations, due to the heightened regulatory scrutiny following the recent disruptions in the crypto asset markets. We believe that since cryptocurrency mining, and the digital asset industry generally, is a relatively new business sector, we are more likely subject to government investigation and regulatory determination, particularly following the recent cryptocurrency market participant bankruptcies described elsewhere herein. Any claims, regulatory proceedings or litigation that could arise in the course of our business could have a material adverse effect on us, our business or operations, or the industry as a whole.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adequately protect our intellectual property rights and other proprietary rights, which could have a material adverse effect on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may not be able to obtain broad protection in Singapore, the United States or internationally for all of our existing and future intellectual property and other proprietary rights, and we may not be able to obtain effective protection for our intellectual property and other proprietary rights in every country in which we operate. Protecting our intellectual property rights and other proprietary rights may require significant expenditure of our financial, managerial and operational resources. Moreover, the steps that we may take to protect our intellectual property and other proprietary rights may not be adequate to protect such rights or prevent third parties from infringing or misappropriating such rights. Any of our intellectual property rights and other proprietary rights, whether registered, unregistered, issued or unissued, may be challenged by others or invalidated through administrative proceedings and/or litigation.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may be required to spend significant resources to secure, maintain, monitor and protect our intellectual property rights and other proprietary rights. Despite our efforts, we may not be able to prevent third parties from infringing upon, misappropriating or otherwise violating our intellectual property rights and other proprietary rights. We may initiate claims, administrative proceedings and/or litigation against others for infringement, misappropriation or violation of our intellectual property rights or other proprietary rights to enforce and/or maintain the validity of such rights. Any such action, if initiated, whether or not it is resolved in our favor, could result in significant expense to us, and divert the efforts of our technical and management personnel, which may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face intellectual property infringement claims or other related disputes, which could be time-consuming, costly to defend or settle and result in the loss of significant rights and lower sales.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is typical in the cryptocurrency industry, we may be subject to infringement claims from time to time or otherwise become aware of potentially relevant patents or other intellectual property rights held by other parties that may cover some of our technology, products and services. The cryptocurrency industry is characterized by companies that hold large numbers of patents and other intellectual property rights and that vigorously pursue, protect and enforce these rights. Patent litigation has increased in recent years owing to increased assertions made by intellectual property licensing entities and increasing competition and overlap of product functionality in our markets. Additionally, we have in the past entered and may continue in the future to enter into licensing agreements with third parties for the use of their proprietary technologies, primarily software development tools, in the development of our products and services. As with any business relationship, we may face disputes and lawsuits related to those intellectual property licensing agreements. As our operations continue to grow in size and scale, the likelihood of us becoming involved in intellectual property related lawsuits and disputes to protect or defend our intellectual property rights and the use of third-party intellectual property rights will increase.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it is extremely difficult for us to monitor all of the patent applications that have been filed in the United States or in other countries or regions and whether, if such pending patents are granted, such patents would have a material and adverse effect on our business if our service offering were to infringe upon them.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third parties may file claims against us or our customers alleging that our products and services, processes, or technologies infringe third-party patents or IP rights. Regardless of their merits or resolutions, such claims could be costly to defend or settle and could divert the efforts and attention of our management and technical personnel. In addition, some of our customer agreements in the future may require us to indemnify and defend our customers from third-party infringement claims and to pay damages in the case of adverse rulings. As such, claims of this sort also could harm our relationships with our customers and may deter future customers from doing business with us. We do not know whether we could prevail in any such proceeding given the complex technical issues and inherent uncertainties involved in intellectual property litigation. If any pending or future proceedings result in an adverse outcome, we could be required to:</w:t>
      </w:r>
    </w:p>
    <w:tbl>
      <w:tblPr>
        <w:tblW w:w="6096" w:type="dxa"/>
        <w:jc w:val="left"/>
        <w:tblInd w:w="0" w:type="dxa"/>
        <w:tblCellMar>
          <w:top w:w="28" w:type="dxa"/>
          <w:left w:w="28" w:type="dxa"/>
          <w:bottom w:w="28" w:type="dxa"/>
          <w:right w:w="28" w:type="dxa"/>
        </w:tblCellMar>
      </w:tblPr>
      <w:tblGrid>
        <w:gridCol w:w="124"/>
        <w:gridCol w:w="256"/>
        <w:gridCol w:w="5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cease the use of the infringing equipment, processes or technologies;</w:t>
            </w:r>
          </w:p>
        </w:tc>
      </w:tr>
    </w:tbl>
    <w:tbl>
      <w:tblPr>
        <w:tblW w:w="5796" w:type="dxa"/>
        <w:jc w:val="left"/>
        <w:tblInd w:w="0" w:type="dxa"/>
        <w:tblCellMar>
          <w:top w:w="28" w:type="dxa"/>
          <w:left w:w="28" w:type="dxa"/>
          <w:bottom w:w="28" w:type="dxa"/>
          <w:right w:w="28" w:type="dxa"/>
        </w:tblCellMar>
      </w:tblPr>
      <w:tblGrid>
        <w:gridCol w:w="124"/>
        <w:gridCol w:w="256"/>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stop providing products and services to certain geographic areas;</w:t>
            </w:r>
          </w:p>
        </w:tc>
      </w:tr>
    </w:tbl>
    <w:tbl>
      <w:tblPr>
        <w:tblW w:w="3936" w:type="dxa"/>
        <w:jc w:val="left"/>
        <w:tblInd w:w="0" w:type="dxa"/>
        <w:tblCellMar>
          <w:top w:w="28" w:type="dxa"/>
          <w:left w:w="28" w:type="dxa"/>
          <w:bottom w:w="28" w:type="dxa"/>
          <w:right w:w="28" w:type="dxa"/>
        </w:tblCellMar>
      </w:tblPr>
      <w:tblGrid>
        <w:gridCol w:w="124"/>
        <w:gridCol w:w="256"/>
        <w:gridCol w:w="3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 substantial damages for infringement;</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expend significant resources to develop non-infringing processes, technologies or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license technology from the third-party claiming infringement, which license may not be available on commercially reasonable terms, or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cross-license our technology to a competitor in order to resolve an infringement claim, which could weaken our ability to compete with that competitor;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 substantial damages to our customers to disruption of products and services they subscribed or replace the type of series with non-infringing equipment involved.</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of the foregoing results could have a material adverse effect on our business,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loss of any member of our senior management team, or our failure to attract, train and retain qualified personnel, especially our design and technical personnel, could impair our ability to grow our business and effectively execute our business strategy.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Since our inception, the growth and expansion of our business operations have been dependent upon the business strategies and foresight of our senior management. Our future success depends, in a large part, on the continued contributions of our senior management team, specifically Mr. Jihan Wu. In addition, our future success depends on our ability to retain, attract and incentivize qualified personnel, including our management, sales, marketing, finance and especially research and development personnel. As the driver of our technological and product innovations, our research and development personnel represent a very significant asset of us. As the technology in the cryptocurrency industry is advancing at a quick pace, there is an increasing need for skilled engineers. Many companies across the world are struggling to find suitable candidates for their research and development positions. The process of hiring employees with the combination of skills and characteristics required to implement our strategy can be extremely competitive and time-consuming. We cannot assure you that we will be able to attract adequate personnel as we continue to pursue our business strategies.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there is no assurance that we will be able to retain key existing employees. The loss of any of our founder, senior management or research and development team members could harm our ability to implement our business strategies and respond to the rapidly changing market conditions in which we operate, or could result in other operating risks. The loss of one or more of our key employees, especially our key design and technical personnel, or our inability to retain, attract and motivate qualified designs and technical personnel,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vulnerable to security breaches, which could disrupt our operations and have a material adverse effect on our business, financial condition and results of operations.</w:t>
      </w:r>
    </w:p>
    <w:p>
      <w:pPr>
        <w:pStyle w:val="TextBody"/>
        <w:spacing w:before="0" w:after="240"/>
        <w:ind w:left="0" w:right="0" w:firstLine="403"/>
        <w:jc w:val="both"/>
        <w:rPr>
          <w:rFonts w:ascii="Times New Roman;Times;serif" w:hAnsi="Times New Roman;Times;serif"/>
          <w:sz w:val="20"/>
        </w:rPr>
      </w:pPr>
      <w:r>
        <w:rPr>
          <w:rFonts w:ascii="Times New Roman;Times;serif" w:hAnsi="Times New Roman;Times;serif"/>
          <w:sz w:val="20"/>
        </w:rPr>
        <w:t>A party who is able to compromise the physical security measures protecting our facilities could cause interruptions or malfunctions in our operations and misappropriate our property or the property of our customers. Such a compromise could be particularly harmful to our brand and reputation. We may be required to expend significant capital and resources to protect against such threats or to alleviate problems caused by breaches in security. As techniques used to breach security change frequently and are often not recognized until launched against a target, we may not be able to implement new security measures in a timely manner or, if and when implemented, we may not be certain whether these measures could be circumvented. Any breaches that may occur could expose us to increased risk of lawsuits, regulatory penalties, loss of existing or potential customers, harm to our reputation and increases in our security costs,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any assertions of alleged security breaches or systems failure made against us, whether true or not, could harm our reputation, cause us to incur substantial legal fees and have a material adverse effect on our business, financial condition and results of operations. Whether or not any such assertion actually develops into litigation, our management may be required to devote significant time and attention to dispute resolution (through litigation, settlement or otherwise), which would detract from our management’s ability to focus on our business. Any such resolution could involve the payment of damages or expenses by us, which may be significant. In addition, any such resolution could involve our agreement with terms that restrict the operation of our business. Any such resolution, including the resources exhausted in connection therewith,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security breaches, computer malware and computer hacking attacks have been a prevalent concern in the Bitcoin exchange market since the launch of the Bitcoin network.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operations or result in loss of our assets.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exposed to cybersecurity threats and hacks,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threats to network and data security are increasingly diverse and sophisticated. Despite our efforts and processes to prevent breaches, our computer servers and computer systems may be vulnerable to cybersecurity risks, including denial-of-service attacks, physical or electronic break-ins, employee theft or misuse and similar disruptions from unauthorized tampering with our computer servers and computer systems. The preventive actions we take to reduce the risk of cyber incidents and protect our information technology and networks may be insufficient to repel a major cyber-attack in the future. To the extent that any disruption or security breach results in a loss or damage to our network, in unauthorized disclosure of confidential information or in a loss of our cryptocurrencies, it could cause significant damage to our reputation, lead to claims against us and ultimately have a material adverse effect on our business, financial condition and results of operations. Additionally, we may be required to incur significant costs to protect against damage caused by these disruptions or security breaches in the future.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engage in acquisitions or strategic alliances in the future that could disrupt our business, result in increased expenses, reduce our financial resources and cause dilution to our shareholders. We cannot assure you that such acquisitions or strategic alliances may be successfully implemented.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may look for potential acquisitions or strategic alliances in the future to expand our business. However, we may not be able to find suitable acquisition candidates, complete acquisitions on favorable terms, if at all, or integrate any acquired business,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or the incurrence of debt. We cannot predict the number, timing or size of future acquisitions, or the effect that any such acquisitions might have on our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global systemic economic and financial crisis could negatively affect our business,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prolonged slowdown in the global economy may have a negative impact on our business, results of operations and financial condition. The global financial markets have experienced significant disruptions since 2008 and the United States, Europe and other economies have experienced periods of recession. There is considerable uncertainty over the long-term effects of the expansionary monetary and fiscal policies adopted by the central banks and financial authorities of some of the world’s leading economies, including the United States. There have also been concerns over unrest in Ukraine, the Middle East and Africa, which have resulted in volatility in financial and other markets, and concerns over the aftermath of the United Kingdom leaving the European Union as well as the significant potential changes to United States trade policies, treaties and tariffs. There were and could be in the future a number of domino effects from such turmoil on our business, including significant decreases in orders from our customers, insolvency of key suppliers resulting in product delays, inability of customers to obtain credit to finance purchases of our products and services and/or customer insolvencies, and counterparty failures negatively impacting our operations. Any systemic economic or financial crisis could cause revenue for the mining industry as a whole to decline dramatically and could materially and adversely affect our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international trade policies and international barriers to trade may have an adverse effect on our business and expansion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provided worldwide products and services to a number of countries outside of Singapore and derive sales from exporting to those countries, and we intend to continue to sell our current and future products to countries outside of Singapore. Revenue generated from customers located in the United States accounted for 12.4%, 16.6% and 5.1% of our total revenue for the years ended December 31, 2020, 2021 and 2022, respectively. Further, we rely on certain overseas suppliers, including suppliers in the United States, for the supply of certain equipment and tools, such as mining machines. Changes to trade policies, treaties and tariffs in or affecting the jurisdictions in which we operate and to which we sell our products and services, or the perception that these changes could occur, could adversely affect the financial and economic conditions in those jurisdictions, as well as our international sales,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and prospect may be negatively affected by changes in governmental policies including sanctions and export controls administered by other countries’ governments, including those imposed as a result of an increasing tense relationship of the political or economic relations among major economic groups and other geopolitical challenges. Although we currently only operate our business in certain countries, there is no assurance that the governmental authorities may take certain possible measures or restrictions towards the products and services we are providing or will provide, which could result in an adverse impact on our business and prospect if we were not able to find substitute customer group with the same quality demand from other countries. Further, some of our customers may experience undue hardship in purchasing or furthering the business relationship with us as a result of the abnormal international trade relations, which could materially and adversely affect our business performance.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countries, which are subject to other countries’ sanctions or tariff impositions may further retaliate, in response to new trade policies implemented by such foreign governments. Such retaliation measures may further escalate the tensions between the two countries, which may have a negative impact on the economies of not merely the two countries concerned, but the global economy as a whole. As a result of any major economic downturn, our business, financial condition and results of operations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prepayments to suppliers may subject us to counterparty risk associated with such suppliers and negatively affect our liquidity and cash position.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required to prepay some of our suppliers before the service is provided to secure the supplier’s production capacity. As of December 31, 2021 and 2022, the balance of prepayments we made to our suppliers amounted to US$14.5 million and US$9.7 million, respectively. The amount of our prepayment can significantly increase as we continue to pursue technological advancement. We are subject to counterparty risk exposure to our suppliers. Any failure by our suppliers to perform their contractual obligation in a timely manner and/or with our requested quality may result in us not being able to fulfill customers’ orders accordingly. In such an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Concerns about greenhouse gas emissions and global climate change may result in environmental taxes, charges, assessments or penalties and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effects of human activity on global climate change have attracted considerable public and scientific attention, as well as the attention of the United States and other foreign governments. Efforts are being made to reduce greenhouse gas emissions, particularly those from coal combustion power plants, some of which plants we may rely upon for power. The added cost of any environmental taxes, charges, assessments or penalties levied on such power plants could be passed on to us, increasing the cost to run our hosting facilities.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23, 2022, the governor of New York signed into law a two year moratorium on new or renewed permits for certain electricity-generating facilities that use fossil fuel and provide energy for proof-of- work digital asset mining operations. While this action does not directly impact our current operations, it may be the beginning of a new wave of climate change regulations aimed at preventing or reducing the growth of Bitcoin mining in jurisdictions in the United States, including potentially jurisdictions in which we now operate or may in the future operate. Such action could also demonstrate the beginning of a regional or global regulatory trend in response to environmental and energy preservation or other concerns surrounding crypto assets, and similar action in a jurisdiction in which we operate or in general could have a devastating effect on our operations. Any further enactment of laws or promulgations of regulations regarding greenhouse gas emissions by the United States, Norway, or any other domestic or foreign jurisdiction in which we conduct business could have a material adverse effect on our business, financial condition or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experience difficulty in collecting our trade receivables, our liquidity, financial condition and results of operations would be negatively impacted.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our revenue from the sale of products and services and are subject to counterparty risks such as our customer’s inability to pay. As of December 31, 2021 and 2022, our trade receivables amounted to US$8.2 million, and US$18.3 million respectively.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operations and those of our production partners and customers are vulnerable to natural disasters and other events beyond our control, the occurrence of which may have an adverse effect on the supply chain of our suppliers and on our facilities, personnel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could be adversely affected by natural disasters or outbreaks of epidemics. We have not adopted any written contingency plans to combat any future natural disasters, such as floods and mudslides, or outbreaks of avian flu, H1N1 flu, SARS or any other epidemic. These natural disasters, outbreaks of contagious diseases, and other adverse public health developments in countries where our computing power facilities are located or any other countries or regions in which we conduct business could severely disrupt our business operations by damaging our network infrastructure or information technology system or impacting the productivity of our workforce, which may adversely affect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COVID-19 pandemic has brought a significantly negative impact on the global economy, industry and market conditions. The ongoing development and the global control on the pandemic are unclear, which may increase the instability of our development, materially and adversely affecting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Since December 2019, the outbreak of a novel strain of coronavirus disease known as COVID-19 has materially and adversely affected the global economy. The COVID-19 pandemic has caused series of consequences from many perspectives and may continue to have a prolonged impact by:</w:t>
      </w:r>
    </w:p>
    <w:tbl>
      <w:tblPr>
        <w:tblW w:w="7506" w:type="dxa"/>
        <w:jc w:val="left"/>
        <w:tblInd w:w="0" w:type="dxa"/>
        <w:tblCellMar>
          <w:top w:w="28" w:type="dxa"/>
          <w:left w:w="28" w:type="dxa"/>
          <w:bottom w:w="28" w:type="dxa"/>
          <w:right w:w="28" w:type="dxa"/>
        </w:tblCellMar>
      </w:tblPr>
      <w:tblGrid>
        <w:gridCol w:w="124"/>
        <w:gridCol w:w="25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impairing our ability to renew and maintain our relationships with existing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causing our existing customers to substantially reduce the quantity of products and services to which they subscribe, seek price concessions, or go out of business, any of which would harm our revenue;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resulting in some of our customers failing to comply with the terms of their agreements, including payment terms, due to economic uncertainty, financial hardship, and even failure of their businesses, which could result in us being required to take action to collect payments, terminate their subscriptions for our services, and increase accounts receivable and bad debt, any of which would increase our expenses and harm our revenue and results of operations;</w:t>
            </w:r>
          </w:p>
        </w:tc>
      </w:tr>
    </w:tbl>
    <w:tbl>
      <w:tblPr>
        <w:tblW w:w="8466" w:type="dxa"/>
        <w:jc w:val="left"/>
        <w:tblInd w:w="0" w:type="dxa"/>
        <w:tblCellMar>
          <w:top w:w="28" w:type="dxa"/>
          <w:left w:w="28" w:type="dxa"/>
          <w:bottom w:w="28" w:type="dxa"/>
          <w:right w:w="28" w:type="dxa"/>
        </w:tblCellMar>
      </w:tblPr>
      <w:tblGrid>
        <w:gridCol w:w="124"/>
        <w:gridCol w:w="256"/>
        <w:gridCol w:w="8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making it more difficult for us to sell increased services or functionality to our existing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delaying prospective customers’ decisions to subscribe to our solutions, increase the length of sales cycles, or slow the typical growth in the use of our solutions once customers have initially deployed our solutions;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harming our ability to effectively market and sell our solutions as a result of travel restrictions and social distancing orders;</w:t>
            </w:r>
          </w:p>
        </w:tc>
      </w:tr>
    </w:tbl>
    <w:tbl>
      <w:tblPr>
        <w:tblW w:w="9996" w:type="dxa"/>
        <w:jc w:val="left"/>
        <w:tblInd w:w="0" w:type="dxa"/>
        <w:tblCellMar>
          <w:top w:w="28" w:type="dxa"/>
          <w:left w:w="28" w:type="dxa"/>
          <w:bottom w:w="28" w:type="dxa"/>
          <w:right w:w="28" w:type="dxa"/>
        </w:tblCellMar>
      </w:tblPr>
      <w:tblGrid>
        <w:gridCol w:w="124"/>
        <w:gridCol w:w="256"/>
        <w:gridCol w:w="9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6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delaying the introduction of enhancements to our solutions and market acceptance of any new features and products;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721" w:type="dxa"/>
        <w:jc w:val="left"/>
        <w:tblInd w:w="0" w:type="dxa"/>
        <w:tblCellMar>
          <w:top w:w="28" w:type="dxa"/>
          <w:left w:w="28" w:type="dxa"/>
          <w:bottom w:w="28" w:type="dxa"/>
          <w:right w:w="28" w:type="dxa"/>
        </w:tblCellMar>
      </w:tblPr>
      <w:tblGrid>
        <w:gridCol w:w="124"/>
        <w:gridCol w:w="256"/>
        <w:gridCol w:w="5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3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harming our ability to grow our worldwide sales and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harming our ability to recruit, onboard and successfully integrate new employees, including members of our direct sales force;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impacting the health and safety of our employees, including our senior management team, and their ability to perform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causing our management team to continue to commit significant time, attention and resources to monitoring the COVID-19 pandemic and seeking to mitigate its effect on our business and workforce.</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It is uncertain how long and how severely the COVID-19 pandemic may continue to impact us. Significant uncertainties associated with the coronavirus remain, including with respect to the availability and efficacy of vaccines, the duration of the pandemic, the emergence of variant strains of COVID-19, and actions that may be taken by governmental authorities to contain the coronavirus or to treat its impact. The full impact of the coronavirus is unknown at this time. If the pandemic continues and lasts for a prolonged period in the regions where we operate, such as cases resurgence in certain areas, the economy could suffer substantially from the measures and restrictions taken to combat the virus, which would, in turn, have an adverse impact on our business prospects. Any significant disruption resulting from this or similar epidemics on a large scale or over a prolonged period of time could significantly interrupt our business until we would be able to resume normal business operations, which will negatively affect our financial condition. To the extent COVID-19 adversely affects our business, financial condition and results of operations, it may also heighten some of the other risks described in this “Risk Factors” section.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Cryptocurrencies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there has been limited precedent set for financial accounting for Bitcoin and other cryptocurrencies, the determinations that we have made for how to account for cryptocurrencies transactions may be subject to change.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Further, there has been limited precedents for the financial accounting of cryptocurrencies and related valuation and revenue recognition, and no official guidance has been provided by the IASB or the SEC. As such, there remains significant uncertainty on how companies can account for cryptocurrency transactions, cryptocurrencies, and related revenue. Uncertainties in or changes to in regulatory or financial accounting standards could result in the need to changing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loss or destruction of a private key required to access our cryptocurrency is irreversible. We also may temporarily lose access to our cryptocurrencies.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Cryptocurrencies are each accessible and controllable only by the possessor of both the unique public key and private key associated with the cryptocurrency, wherein the public and private keys are held in an offline or online digital wallet. To the extent a private key is lost, destroyed or otherwise compromised and no backup of the private key is available, we will be unable to access the applicable cryptocurrency associated with that private key and the private key cannot be restored. As a result, any cryptocurrencies associated with such key could be irretrievably lost. Any loss of private keys relating to digital wallets used to store the applicable cryptocurrencies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may temporarily lose access to our cryptocurrencies as a result of software or systems upgrades or maintenance. In this case, we would likely rely on third parties to assist in restoring our access, and there is no assurance such third parties will be able to restore access on a timely basis, or at all. Any temporary loss, if it occurs, could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Bitcoin transactions are entirely digital and, as with any virtual system, are at risk from hackers, malware and operational glitches. Hackers can target Bitcoin exchanges and Bitcoin transactions, to gain access to thousands of accounts and digital wallets where Bitcoins are stored. Bitcoin transactions and accounts are not insured by any type of government program and all Bitcoin transactions are permanent because there is no third party or payment processor. Bitcoin has suffered from hacking and cyber-theft as such incidents have been reported by several cryptocurrency exchanges and miners, highlighting concerns about the security of Bitcoin and therefore affecting its demand and price.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To the extent that cryptocurrency exchanges or other trading venues are involved in fraud or experience security failures or other operational issues, a reduction in cryptocurrency prices could occur. Cryptocurrency market prices depend, directly or indirectly, on the prices set on exchanges and other trading venues, which are new and, in most cases, largely unregulated as compared to established, regulated exchanges for securities, derivatives and other currencies. For example, during the past three years, a number of Bitcoin exchanges have been closed due to fraud, business failure or security breaches. In many of these instances, the customers of the closed Bitcoin exchanges were not compensated or made whole for the partial or complete losses of their account balances in such Bitcoin exchanges. Also, the price and exchange of Bitcoin may be affected due to fraud risk. While Bitcoin uses private key encryption to verify owners and register transactions, fraudsters and scammers may attempt to sell false Bitcoins. All of the above may adversely affect the operation of the Bitcoin network which would erode user confidence in Bitcoin, which would negatively affect demand for our products and services. In addition,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For example, during the past three years, a number of Bitcoin exchanges have been closed due to fraud, business failure or security breaches. In many of these instances, the customers of the closed Bitcoin exchanges were not compensated or made whole for the partial or complete losses of their account balances in such Bitcoin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Further, 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 During 2022, a number of companies in the crypto industry have declared bankruptcy, including Compute North, Core Scientific, Alameda Research LLC, Celsius Network, Voyager Digital, Three Arrows, BlockFi, and FTX. In June 2022, Celsius began pausing all withdrawals and transfers between accounts on its platform, and in July 2022, it filed for Chapter 11 bankruptcy protection. Further, in November 2022, FTX, one of the major cryptocurrency exchanges, also filed for Chapter 11 bankruptcy. Such bankruptcies have contributed, at least in part, to further price decreases in Bitcoin, a loss of confidence in the participants of the digital asset ecosystem and negative publicity surrounding digital assets more broadly, and other participants and entities in the digital asset industry have been, and may continue to be, negatively affected. These events have also negatively impacted the liquidity of the digital assets markets as certain entities affiliated with FTX engaged in significant trading activity.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been directly impacted by any of the recent bankruptcies in the crypto asset space, as we have no contractual privity or relationship to the relevant parties. However, we are dependent on the overall crypto assets industry, and such recent events have contributed, at least in part, to our peers’ stock price as well as the price of Bitcoin. If the liquidity of the digital assets markets continues to be negatively impacted, digital asset prices (including the price of Bitcoin) may continue to experience significant volatility and confidence in the digital asset markets may be further undermined. 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 discourage overall participation in the cryptocurrency industry, and result in loss of customer demand for our products and services. Cryptocurrency investments may be subject to losses or impairments if cryptocurrency values decrease as a result of failure of any digital asset exchange, however, we do not anticipate to actively participate in such activities in the foreseeable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Substantially all of our cryptocurrencies were held in custody by Matrix Finance and Technologies Holding Group and its subsidiaries (“Matrixport Group”), a related party, and our disposal of cryptocurrencies, at spot price on the date of disposal, was primarily to Matrixport Group. We believe that the security procedures that Matrixport Group utilizes, such as issuing username, password and hardware tokens, are reasonably designed to safeguard our Bitcoin and other cryptocurrencies from theft, loss, destruction or other issues relating to hackers and technological attack. Nevertheless, the security procedures cannot guarantee the prevention of any loss due to a security breach, software defect or act of God that may be borne by us. If such cryptocurrencies are lost, stolen or destroyed under circumstances rendering a third party liable to us, it is possible that Matrixport Group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cryptocurrencies. To the extent that we are unable to recover on any of our claims against any such third party, such loss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On July 22, 2020, the U.S. Office of the Comptroller of the Currency released publicly an interpretive letter confirming the authority of a national bank to provide cryptocurrency custody services for customers, providing that a national bank engaging in such activities should develop and implement those activities consistent with sound risk management practices and align them with the bank’s overall business plans and strategies as set forth in the guidance. On January 27, 2023, the Board of Governors of the Federal Reserve System released publicly a policy statement to interpret section 9(13) of the Federal Reserve Act, clarifying that the state member banks are not prohibited under the policy from providing safekeeping services for crypto-assets in a custodial capacity, if such activities are conducted in a safe and sound manner and in compliance with consumer, anti-money-laundering, and anti-terrorist-financing laws. However, it will take time for banks to start offering cryptocurrencies custodian services, and before then, we may have to continue to rely on crypto custodians, such as Matrixport Group, for our crypto custodian needs.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have also lent cryptocurrency loans to Matrixport Group and purchased cryptocurrency wealth management products from Matrixport Group. Historically, we have not incurred or been exposed to any losses as a result of our relationship and transactions with Matrixport Group, and have never experienced any excessive redemptions, withdrawals, or a suspension of redemptions or withdrawals, of crypto assets from Matrixport Group or other exchanges or platforms. Participation in cryptocurrency lending and/or investment may subject us to counterparty risk, which may result in us losing part or all of our cryptocurrencies lent or invested. However, to further limit our counterparty risk, we currently are not engaged in, and do not anticipate to engage in crypto lending or investing activities in the foreseeable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material transaction between us and Matrixport Group or its subsidiaries is subject to our related person transaction policy. To the extent we fail to appropriately deal with any such conflicts of interests, it could negatively impact our reputation, the ability to raise additional funds and the willingness of counterparties to do business with us, all of which could have adverse effect on our business, financial condition, results of operations and cash flows.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“halving” of rewards available on the Bitcoin network, or the reduction of rewards on other networks, has had and in the future could have a negative impact on our ability to generate revenue as our customers may not have an adequate incentive to continue transaction processing and customers may cease transaction processing operations altogether,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protocols governing the Bitcoin network, the reward for validating a new block on that network is cut in half from time to time, which has been referred to in our industry as the “halving.” When the Bitcoin network was first launched, the reward for validating a new block was 50 Bitcoin. In November 2012, the reward for validating a new block was reduced to 25 Bitcoin. In July 2016, the reward for validating a new block was reduced to 12.5 Bitcoin, and in May 2020, the reward was further reduced to 6.25 Bitcoin. The next halving for Bitcoin is expected in 2024 at block 840,000, when the reward will reduce to 3.125. In addition, other networks may operate under rules that, or may alter their rules to, limit the distribution of new cryptocurrencies. We, and to our knowledge, our potential hosting customers, currently rely on these rewards to generate a significant portion of our total revenue. If the award of cryptocurrencies for solving blocks and transaction fees are not sufficiently high, neither we nor our customers may have an adequate incentive to continue transaction processing and may cease transaction processing operations altogether, which as a result may significantly reduce demand for our hosting services. As a result, the halving of available rewards on the Bitcoin network, or any reduction of rewards on other networks, would have a negative impact on our revenue and may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reduction of rewards may reduce our profit margins, which could result in us selling a substantial portion of our cryptocurrencies, which are subject to high volatility. If we are forced to sell cryptocurrencies at low prices, it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Malicious actors or botnet may obtain control of more than 50% of the processing power on the Bitcoin or other cryptocurrency network.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a malicious actor or botnet (a volunteer or hacked collection of computers controlled by networked software coordinating the actions of the computers) obtains a majority of the processing power dedicated to mining on the Bitcoin or other cryptocurrency network, it may be able to alter the blockchain on which the Bitcoin or other cryptocurrency network and most Bitcoin or other cryptocurrency transactions rely by constructing fraudulent blocks or preventing certain transactions from completing in a timely manner, or at all. The malicious actor or botnet could control, exclude, or modify the ordering of transactions, though it could not generate new cryptocurrencies or transactions using such control. The malicious actor could “double-spend” its own cryptocurrencies (i.e., spend the same cryptocurrencies in more than one transaction) and prevent the confirmation of other users’ transactions for so long as it maintained control. To the extent that such malicious actor or botnet did not yield its control of the processing power on the cryptocurrency network, or the cryptocurrency community did not reject the fraudulent blocks as malicious, reversing any changes made to the blockchain may not be possible.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there are no known reports of malicious activity or control of the Bitcoin blockchain achieved through controlling over 50% of the processing power on the network, it is believed that certain mining pools may have exceeded the 50% threshold. The possible crossing of the 50% threshold indicates a greater risk in that a single mining pool could exert authority over the validation of Bitcoin transactions. To the extent that the cryptocurrency ecosystems, including developers and administrators of mining pools, do not act to ensure greater decentralization of Bitcoin or other cryptocurrency mining processing power, the feasibility of a malicious actor obtaining control of the processing power on the cryptocurrency network will increase, which may adversely affect an investment in us.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there are significant changes to the method of validating blockchain transactions, such changes could harm our proprietary mining business and reduce demand for our products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New cryptocurrency transaction protocols are continuously being deployed, and existing and new protocols are in a state of constant change and development. While certain validation protocols currently employ a PoW consensus algorithm, whereby miners are required to expend significant amounts of electrical and computing power to solve complex mathematical problems in order to validate transactions and create new blocks in a blockchain, there may be a shift towards adopting alternative validating protocols. These protocols may include a PoS algorithm, PoC algorithm or any other algorithm based on a protocol other than PoW, which may decrease the reliance on computing power as an advantage to validating blocks. Our proprietary mining operations, and, to our knowledge, the operations of our potential hash rate sharing and hosting customers, are currently designed to primarily support a PoW consensus algorithm. Should the algorithm shift from a PoW validation method to others, mining would require less energy and may render any company that maintains advantages in the current climate (for example, from lower priced electricity, processing, real estate or hosting) less competitive. As a result of our efforts to optimize and improve the efficiency of our cryptocurrency mining operations, we may be exposed to the risk in the future of losing the benefit of our capital investments and the competitive advantage we hope to gain from this as a result, and may be negatively impacted if a switch to protocols other than PoW were to occur. If we cannot adapt to the new mining protocols quickly enough to keep pace with the market change, any such change to transaction validating protocols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Growth in the popularity and use of other blockchain networks other than PoW cryptocurrency networks, may adversely affect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consensus algorithm is the mechanism through which a blockchain network reach consensus. There are several types of consensus algorithms, the most common among which are Proof-of-Work (“PoW”), Proof- of-Stake (“PoS”), Delegated-Proof-of-Stake (“DPoS”), Proof-of-Space-Time (“PoST”), and Proof-of- Capacity (“PoC”). PoW is employed by Bitcoin and many other cryptocurrencies, according to which miners with higher computing power have better chances to find a valid solution for the next block. On the contrary, according to PoS, the creator of a new block is chosen in a deterministic way based on his or her stake, which is the number of coins he or she owns. As validation under PoS does not depend on computing power, PoS reduces the need for electricity and mining hardware. DPoS works similarly to PoS except it involves a voting and delegation mechanism to incentivize users to secure the network with their staked collateral. PoST and PoC are consensus mechanism algorithm used in blockchains that allows for mining devices in the network to use their available storage space and time to decide mining rights and validate transactions. PoST and PoC emerged as some of the many alternative solutions to the problem of high energy consumption in PoW systems and cryptocurrency hoarding in PoS systems.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Currently, the original PoW cryptocurrency network, Bitcoin, enjoys a first-to-market advantage over other networks such as PoS networks and dominates the cryptocurrency markets as it was introduced by Satoshi Nakamoto back in 2009, way earlier than other cryptocurrencies, and since then grew into the most populator cryptocurrency. Bitcoin’s market capitalization and its share of the market capitalization of all cryptocurrencies fluctuate as other cryptocurrencies were introduced to the digital assets industry at a later time and became more mainstream for various reasons, and there is no guarantee that Bitcoin or other PoW cryptocurrency networks, will continue to enjoy such market leading position and could be is overtaken by another virtual asset. For example, as the cryptocurrency community continues to develop and advance PoS technologies, PoS networks may offer actual or perceived advantages over PoW networks. While we intend to enrich our product and service portfolio by providing mining services covering new crypto protocols, including PoS, DPoS, PoST and PoC, and steadily increase the weight of new business to diversify revenue streams and attract new customers who are users of these new crypto protocols, our services primarily support PoW protocol currently. Specifically, prior to the second half of 2021, our business was limited to PoW protocol only; commencing from the second half of 2021, we started to mine Filecoin, which adopted PoST protocol, on a proprietary basis, and to offer computing power sharing solutions regarding Filecoin mining under our </w:t>
      </w:r>
      <w:r>
        <w:rPr>
          <w:rFonts w:ascii="Times New Roman;Times;serif" w:hAnsi="Times New Roman;Times;serif"/>
          <w:i/>
          <w:sz w:val="20"/>
        </w:rPr>
        <w:t>Cloud Hash Rate</w:t>
      </w:r>
      <w:r>
        <w:rPr>
          <w:rFonts w:ascii="Times New Roman;Times;serif" w:hAnsi="Times New Roman;Times;serif"/>
          <w:sz w:val="20"/>
        </w:rPr>
        <w:t xml:space="preserve"> business. If preferences in the cryptocurrency markets shift away from PoW networks and PoS networks achieve widespread adoption, it could attract users away from Bitcoin and the other PoW cryptocurrencies we mine and the PoW related products mining services we offer, which could have a material adverse effect on our business and our prospects or operations as there is no guarantee that we will be able to adapt to new businesses swiftly enough, if at all.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could adversely impact our business,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Bitcoin is based on open-source software and has no official developer or group of developers that formally controls the Bitcoin network. Any individual can download the Bitcoin network software and make any desired modifications, which are proposed to users and miners on the Bitcoin network through software downloads and upgrades. However, miners and users must consent to those software modifications by downloading the altered software or upgrading and implementing the changes; otherwise, the changes do not become part of the Bitcoin network. Since the Bitcoin network’s inception, changes to the Bitcoin network have been accepted by the vast majority of users and miners, ensuring that the Bitcoin network remains a coherent economic system. However, a developer or group of developers could potentially propose a modification to the Bitcoin network that is not accepted by a vast majority of miners and users, but that is nonetheless accepted by a substantial population of participants in the Bitcoin network. In such a case, a fork in the blockchain could develop and two separate Bitcoin networks could result, one running the pre-modification software program and the other running the modified version. An example is the introduction of a cryptocurrency known as “Bitcoin cash” in mid-2017. This kind of split in the Bitcoin network could erode user confidence in the stability of the Bitcoin network, which could negatively affect the demand for our services.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Cryptocurrency transactions are irrevocable and, if stolen or incorrectly transferred, cryptocurrencies may be irretrievable. As a result, any incorrectly executed cryptocurrency transactions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Typically, cryptocurrency transactions are not, from an administrative perspective, reversible without the consent and active participation of the recipient of the transaction or, in theory, control or consent of a majority of the processing power on the applicable network. Once a transaction has been confirmed and verified in a block that is added to the network blockchain, an incorrect transfer of a cryptocurrency or a theft of a cryptocurrency generally will not be reversible and we may not be capable of seeking compensation for any such transfer or theft. Although transfers of any cryptocurrencies we hold will regularly be made to or from vendors, consultants, services providers, etc., it is possible that, through computer or human error, or through theft or criminal action, our cryptocurrencies could be transferred from ourself in incorrect amounts or to unauthorized third parties. To the extent that we are unable to seek a corrective transaction with such third party or are incapable of identifying the third party that has received our cryptocurrencies through error or theft, we will be unable to revert or otherwise recover our incorrectly transferred cryptocurrencies. To the extent that we are unable to seek redress for such error or theft, such loss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cryptocurrencies held by us may be subject to loss, damage, theft or restriction on access, which could have a material adverse effect on our business, financial condition or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a risk that some or all of the cryptocurrencies held or hosted by us could be lost, stolen or destroyed. We believe that the cryptocurrencies held or hosted by ourself and our mining operation will be an appealing target to hackers or malware distributors seeking to destroy, damage or steal our cryptocurrencies. Our security procedures and operational infrastructure may be breached due to the actions of outside parties, error or malfeasance of one of our employees, or otherwise, and, as a result, an unauthorized party may  obtain access to our cryptocurrency accounts, private keys, data or cryptocurrencies. Although we implement a number of security procedures with various elements such as two-factor verification, segregated accounts and secured facilities and plan to implement the maintenance of data on computers and/or storage media that is not directly connected to, or accessible from, the internet and/or networked with other computers, or “cold storage,” to minimize the risk of loss, damage and theft, and we update such security procedures whenever reasonably practicable, there is no guarantee that the prevention of such loss, damage or theft, whether caused intentionally, accidentally or by an act of God.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As technological change occurs, the security threats to our Bitcoin will likely adapt and previously unknown threats may emerge. Our ability to adopt technology in response to changing security needs or trends may pose a challenge to the safekeeping of our cryptocurrencies. To the extent we are unable to identify and mitigate or stop new security threats, our cryptocurrencies may be subject to theft, loss, destruction or other attacks.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of these events could expose us to liability, damage our reputation, reduce customer confidence in our products and services and otherwise have a material adverse effect on our business, financial condition and results of operations. Furthermore, we believe that as our assets grow, we may become a more appealing target for security threats, such as hackers and malware. If an actual or perceived breach of our cryptocurrency accounts occurs, the market perception of our effectiveness could be harmed.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impact of geopolitical, economic or other events on the supply of and demand for cryptocurrencies is uncertain, but could motivate large-scale sales of cryptocurrencies, which could result in a reduction in the price of such cryptocurrencies and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an alternative to fiat currencies that are backed by central governments, cryptocurrencies, which are relatively new, are subject to supply and demand forces based upon the desirability of an alternative, decentralized means of buying and selling goods and services. It is unclear how this supply and demand will be impacted by geopolitical events. Nevertheless, political or economic crises may motivate large-scale acquisitions or sales of cryptocurrencies either globally or locally. Large-scale sales of cryptocurrencies likely would result in a reduction in the price of the subject cryptocurrency and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price of cryptocurrencies may be affected by the buying and selling of a significant amount of cryptocurrencies by a holder, or a group of holders. Any unforeseen actions by holders of a significant amount of cryptocurrencies,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Many 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Many cryptocurrency networks face significant scaling challenges. For example, cryptocurrencies are limited with respect to how many transactions can occur per second. In this respect, Bitcoin may be particularly affected as it relies on the PoW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There is also a risk that any mechanisms of increasing the scale of cryptocurrency settlements may significantly alter the competitive dynamics in the cryptocurrency market, and may adversely affect the value of Bitcoin and the price of our Ordinary Shares, any of which could have a material adverse effect on our business, prospects, financial condition, and operating results.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cryptocurrency network, which could adversely impact an investment in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systemic delays in the recording and confirmation of transactions on the blockchain could result in greater exposure to double-spending transactions and a loss of confidence in certain or all cryptocurrency networks, which could have a material adverse effect on our business, prospects, financial condition, and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Network congestion could result in high fees, delayed transactions, and a loss of confidence in that cryptocurrency network, which could adversely impact an investment in 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Rising adoption of blockchain networks leads to network congestion, as space on decentralized ledgers is inherently scarce. From a design standpoint, striking a balance between security, decentralization, and scalability (or transactional throughput) is the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Increasing growth and popularity of cryptocurrencies, initial coin offerings (“ICOs”) and security token offerings,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diversify our business by mining or investing in additional cryptocurrencies which could require significant investment or expose us to trading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field of cryptocurrencies is constantly expanding with around 10,000 types of cryptocurrencies in existence as of December 2022. We intend to evaluate the potential for mining or investing in existing, new and alternative cryptocurrencies. To the extent we elect to commence activities to generate cryptocurrencies, we would be required to invest our assets either to obtain mining equipment configured to generate cryptocurrencies based on a PoW protocol or to post “stakes” to generate cryptocurrencies based on a PoS protocol. In addition, or in the alternative, we may trade our cryptocurrencies for other cryptocurrencies on centralized or decentralized exchanges. Optimization of such trades may vary depending on the exchange on which the trade is conducted because we may not have access to all exchanges on which such trades are available. Further, trading on centralized and decentralized exchanges may expose us to additional risks if such exchanges experience breaches of security measures, system errors or vulnerabilities, software corruption, hacking or other irregularities. Any new cryptocurrency obtained through generation or trading may be more volatile or fail to increase in value compared to cryptocurrencies we currently hold. As a result, any investment in different cryptocurrencies may not achieve our goals, may be viewed negatively by analysts or investors and may negatively affect our revenue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the transaction fees for recording cryptocurrencies in a blockchain increase, demand for cryptocurrencies may be reduced and prevent the expansion of the networks to retail merchants and commercial businesses, resulting in a reduction in the acceptance or price of cryptocurrencies.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the number of cryptocurrencies awarded for solving a block in a blockchain decreases, the incentive for mining participants to contribute processing power to networks will transition from a set reward to transaction fees. In order to incentivize mining participants to continue to contribute processing power to the networks, the network may transition from a set reward to transaction fees earned upon solving for a block.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mining participants demand higher transaction fees to record transactions in a blockchain or a software upgrade automatically charges fees for all transactions, the cost of using cryptocurrencies may increase and the marketplace may be reluctant to accept cryptocurrencies as a means of payment. Existing users may be motivated to switch from one cryptocurrency to another or back to fiat currency. Decreased use and demand for cryptocurrencies may adversely affect their value and result in a reduction in the value of our 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the award of new cryptocurrencies and/or transaction fees for solving blocks is not sufficiently high to incentivize miners, such processors may reduce or cease expending processing power on a particular network, which could negatively impact the utility of the network, reduce the value of our cryptocurrencies and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the number of cryptocurrencies rewarded to miners for validating blocks in a network decreases, the incentive for miners to continue contributing processing power to the network may shift toward transaction fees. Such a shift may increase the transaction fees on a network. Higher transaction fees may reduce the utility of a network for an end user, which may cause end users to reduce or stop their use of that network. In such case, the price of the relevant cryptocurrency may decline substantially and could go to zero. Such reduced price and demand for, and use of, the relevant cryptocurrency and network, either as it applies to our transaction processing services or to those of our potential hosting customers, may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Miners may sell a substantial number of cryptocurrencies into the market, which may exert downward pressure on the price of the applicable cryptocurrency and, in turn,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Transaction processing requires the investment of significant capital for the acquisition of hardware, leasing or purchasing space, involves substantial electricity costs and requires the employment of personnel to operate the data facilities, which may lead transaction processing operators to liquidate their positions in cryptocurrencies to fund these capital requirements. In addition, if the reward of new cryptocurrencies for transaction processing declines, and/or if transaction fees are not sufficiently high, profit margins for transaction processing operators may be reduced, and such operators may be more likely to sell a higher percentage of their cryptocurrencies. Whereas it is believed that individual operators in past years were more likely to hold cryptocurrencies for more extended periods, the immediate selling of newly transacted cryptocurrencies by operators may increase the supply of such cryptocurrencies on the applicable exchange market, which could create downward pressure on the price of the cryptocurrencies and, in turn, could have a material adverse effect on our business,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 the extent that the profit margins of cryptocurrency mining operations are not high, mining participants are more likely to sell their earned Bitcoin, which could constrain Bitcoin prices.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Over the past few years, cryptocurrency mining operations have evolved from individual users mining with computer processors, graphics processing units and first-generation application-specific integrated circuit (“ASIC”) servers. Currently, new processing power is predominantly added by incorporated and unincorporated “professionalized” mining operations. Professionalized mining operations may use proprietary hardware or sophisticated ASIC machines acquired from ASIC manufacturers. They require the investment of significant capital to acquire this hardware, to lease operating space (often in datacenters or warehousing facilities), and to pay the costs of electricity and labor to operate the mining datacenters. As a result, professionalized mining operations are of a greater scale than prior mining operations and have more defined and regular expenses and liabilities. These regular expenses and liabilities require professionalized mining operations to maintain profit margins on the sale of cryptocurrencies. To the extent the price of cryptocurrencies declines and such profit margin is constrained, professionalized mining participants are incentivized to more immediately sell cryptocurrencies earned from mining operations, whereas it is believed that individual mining participants in past years were more likely to hold newly mined cryptocurrencies for more extended periods. The immediate selling of newly mined cryptocurrencies greatly increases the trading volume of the cryptocurrencies, creating downward pressure on the market price of cryptocurrency rewards. The extent to which the value of cryptocurrencies mined by a professionalized mining operation exceeds the allocable capital and operating costs determines the profit margin of such operation. A professionalized mining operation may be more likely to sell a higher percentage of its newly mined cryptocurrencies rapidly if it is operating at a low profit margin and it may partially or completely cease operations if its profit margin is negative. In a low profit margin environment, a higher percentage could be sold more rapidly, thereby potentially depressing cryptocurrency prices. Lower cryptocurrency prices could result in further tightening of profit margins for professionalized mining operations creating a network effect that may further reduce the price of cryptocurrencies until mining operations with higher operating costs become unprofitable forcing them to reduce mining power or cease mining operations temporarily. Such circumstances could have a material adverse effect on our business, prospects or operations and potentially the value of Bitcoin and any other cryptocurrencies we mine or otherwise acquire or hold for our own account.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Regulatory Compliance and Other Legal Matters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a highly-evolving regulatory landscape and any adverse changes to, or our failure to comply with, any laws and regulations could adversely affect our business, reputation, prospects or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Until recently, relatively little regulatory attention has been directed toward the crypto assets market by U.S. federal and state governments, non-U.S. governments and self-regulatory agencies. As crypto assets have grown in popularity and in market size, the U.S. regulatory regime  —  namely the Federal Reserve Board, U.S. Congress and certain U.S. agencies (e.g., the SEC, the U.S. Commodity Futures Trading Commission (the “CFTC”), the Financial Crimes Enforcement Network (the “FinCEN”) and the Federal Bureau of Investigation), and local and foreign governmental organizations, consumer agencies and public advocacy groups have been examining the operations of crypto networks, users and platforms, with a focus on how crypto assets can be used to launder the proceeds of illegal activities, fund criminal or terrorist enterprises, and the safety and soundness of platforms and other service providers that hold crypto assets for users. Many of these entities have called for heightened regulatory oversight, and have issued consumer advisories describing the risks posed by crypto assets to users and investors. For instance, in March 2022, Federal Reserve Chair Jerome Powell expressed the need for regulation to prevent “cryptocurrencies from serving as a vehicle for terrorist finance and just general criminal behavior”. On March 8, 2022, President Biden announced an executive order on cryptocurrencies which seeks to establish a unified federal regulatory regime for cryptocurrencies. The complexity and evolving nature of our business and the significant uncertainty surrounding the regulation of the crypto assets industry requires us to exercise our judgment as to whether certain laws, rules, and regulations apply to us, and it is possible that governmental bodies and regulators may disagree with our conclusions.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the recent bankruptcy filings of FTX, the third largest digital asset exchange by volume at the time of its filing, and its affiliated hedge fund Alameda Research LLC, in addition to other bankruptcy filings of crypto companies throughout calendar year 2022, will likely attract heightened regulatory scrutiny from U.S. regulatory agencies such as the SEC and CFTC. Increasing regulation and regulatory scrutiny may result in additional costs for us and our management having to devote increased time and attention to regulatory matters, change aspects of our business or result in limits on the utility of Bitcoin. In addition, regulatory developments and/or our business activities may require us to comply with certain regulatory regimes. Increasingly strict legal and regulatory requirements and any regulatory investigations and enforcement may result in changes to our business, as well as increased costs, supervision and examination. Moreover, new laws, regulations, or interpretations may result in additional litigation, regulatory investigations, and enforcement or other actions. Adverse changes to, or our failure to comply with, any laws and regulations may have, an adverse effect on our reputation and brand and our business, operating results,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are not directly connected to the recent cryptocurrency market events, we may still suffer reputational harm due to our association with the cryptocurrency industry in light of the recent disruption in the crypto asset markets. Ongoing and future regulation and regulatory actions could significantly restrict or eliminate the market for or uses of Bitcoin and/or may adversely affect our business, reputation,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rules and regulations that we must comply with are complex and subject to interpretation by the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SEC have focused on the integrity of financial reporting and internal controls. In addition, many companies’ accounting policies are being subject to heightened scrutiny by regulators and the public. Further, there has been limited precedents for the financial accounting of cryptocurrency-related transactions. As such, there remains significant uncertainty on how companies can account for crypto assets transactions, crypto assets, and related revenue. Uncertainties in or changes to regulatory or financial accounting standards could result in the need to change our accounting methods and restate our financial statements and impair our ability to provide timely and accurate financial information, which could adversely affect the accuracy of our financial statements, result in a loss of investor confidence, and more generally impact our business, operating result,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interactions with a blockchain may expose us to specially designated nationals (“SDN”) or blocked persons or cause us to violate provisions of law that did not contemplate distribute ledger technology.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OFAC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our cryptocurrency mining-related products and services.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federal law prohibits any U.S. person from knowingly or unknowingly possessing any visual depiction commonly known as child pornography. Recent media reports have suggested that persons have embedded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mining datacenters may be located on property whose owner has not obtained the approval of relevant authorities, and we may be ordered to relocate from that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mining datacenters where mining machines operate are located in different places around the world. Due to the unexpectable regulations that the governments may impose on the development of cryptocurrencies or cryptocurrency mining, the properties we are renting currently may not be in accordance with local zoning ordinance. Such mining datacenters may be considered to be in violation of relevant zoning laws and the government may order the demolition or relocation of such datacenters. If we are evicted from such property, we may need to find alternative properties and relocate our mining datacenters. Unless we are able to make timely alternative arrangements for relocating, we may not be able to fulfill purchase orders received, which may have a material and adverse effect on our business,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legal and other disputes from time to time arising out of our operations, including disputes with our suppliers, business partners, customers or employees.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may from time to time be involved in disputes with various parties arising out of our operations, including mining machines or electricity suppliers, business partners, customers or employees. These disputes may lead to protests or legal or other proceedings and may result in damage to our reputation, substantial costs and diversion of resources and management’s attention from our core business activities.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features of cryptocurrency networks, such as decentralization, independence from sovereignty and anonymity of transactions, create the possibility of heightened attention from the public, regulators and the media. Heightened regulatory and public concerns over cryptocurrency-related issues may subject us to additional legal and social responsibilities and increased scrutiny and negative publicity over these issues and even boycott by the rest of the mining community, due to our leading position in the cryptocurrency mining industry. From time to time, these allegations, regardless of their veracity, may result in consumer dissatisfaction, public protests or negative publicity, which could result in government inquiry or substantial harm to our brand, reputation and operations. Moreover, as our business expands and grows, we may be exposed to heightened public scrutiny in jurisdictions where we already operate as well as in new jurisdictions where we may operate. There is no assurance that we would not become a target for regulatory or public scrutiny in the future or that scrutiny and public exposure would not severely damage our reputation as well as our business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Risks associated with our business and operations include, but are not limited to, business interruption due to regulatory changes, power shortages or network failure, product liability claims and losses of key personnel, any of which may result in significant costs or business disruption. In line with general market practice, we do not have any business liability or disruption insurance to cover our operations. However, our current insurance policies may be insufficient in the event of a prolonged or catastrophic event. The occurrence of any such event that is not entirely covered by our insurance policies may result in interruption of our operations, subject us to significant losses or liabilities and damage our reputation as a provider of business continuity services. In addition, the property, transit and director and officer insurance policies we have obtained may not cover all risks associated with our business. It may not be possible, either because of a lack of available policies, limits on coverage or prohibitive cost, for us to obtain insurance of any type that would cover losses associated with our cryptocurrency portfolio. The occurrence of certain incidents including severe weather, earthquake, fire, war, power outages, flooding and the consequences resulting from them may not be covered by our insurance policies adequately, or at all. If we were subject to substantial liabilities that were not covered by our insurance, we could incur costs and losses that could materially and adversely affect our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cryptocurrencies held by us are not insured. Therefore, a loss may be suffered with respect to our cryptocurrencies which is not covered by insurance and for which no person is liable in damages which could adversely affect our operations and, consequently, an investment in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Bitcoin mining activities are energy-intensive, which may restrict the geographic locations of mining machines and have a negative environmental impact.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Bitcoin mining activities are inherently energy-intensive and electricity costs account for a significant portion of the overall mining costs. The availability and cost of electricity will restrict the geographic locations of mining activities. Any shortage of electricity supply or increase in electricity cost in a jurisdiction may negatively impact the viability and the expected economic return for Bitcoin mining activities in that jurisdiction, which may in turn decrease the sales of our Bitcoin mining machines in that jurisdiction.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significant consumption of electricity may have a negative environmental impact, including contribution to climate change, which may give rise to public opinion against allowing the use of electricity for Bitcoin mining activities or government measures restricting or prohibiting the use of electricity for Bitcoin mining activities. Any such development in the jurisdictions where we sell our cryptocurrency mining-related products and services could have a material and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 and international expansion are subject to geopolitical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operation and international expansion are subject to geopolitical risks. Any significant deterioration in our business collaboration with our partners may have a negative impact on the ability of our business partners to produce or deliver the equipment or components we need, which could have a material and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there might be significant changes to United States trade policies, treaties and tariffs, including trade policies and tariffs regarding the Europe Union or other major economy entities. Countries may respond by imposing retaliatory trade measures against the United States. For details about international trade relations, see the section entitled “ — Changes in international trade policies and international barriers to trade may have an adverse effect on our business and expansion plans.” Variations in the trade policies among different countries will significantly influence our worldwide business and regional business relationship, which will materially and adversely affect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 and international expansion may have an intrinsic need for governmental interactions, and are therefore subject to higher corruption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require significant power resources and related infrastructures to support cryptocurrency mining, and that our business operates under a fast-changing regulatory landscape, both in terms of cryptocurrency and environmental regulations. Such business nature may pose an intrinsic need for us to frequently interact with government authorities by, for example, accessing natural resources and engaging in lobbying activities with respect to any relevant regulatory changes. Frequent governmental interactions may pose higher corruption and bribery risks to us. In addition, our plan to expand internationally, including into jurisdictions which are considered high-risk from an anti-bribery and anti-corruption perspective, also heightens the corruption risks for us.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require certain approvals, licenses, permits and certifications to operate. Any failure to obtain or renew any of these approvals, licenses, permits or certifications could materially and adversely affect our business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the laws and regulations in the jurisdictions in which we operate, we are required to maintain certain approvals, licenses, permits and certifications, such as obtaining certificates of occupancy and passing electrical inspection for our mining datacenters. Complying with such laws and regulations may require substantial expense, and any non-compliance may expose us to liability. In the event of non-compliance, we may have to incur significant expenses and divert substantial management time to rectify the incidents. In the future, if we fail to obtain all the necessary approvals, licenses, permits and certifications, we may be subject to fines or the suspension of operations of the production facilities and research and development facilities that do not have all the requisite approvals, licenses, permits and certifications, which could materially and adversely affect our business and results of operations. We may also experience adverse publicity arising from non-compliance with government regulations, which would negatively impact our reputation.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no assurance that we will be able to fulfill all the conditions necessary to obtain the required government approvals, or that relevant government officials will always, if ever, exercise their discretion in our favor, or that we will be able to adapt to any new laws, regulations and policies. There may also be delays on the part of government authorities in reviewing our applications and granting approvals, whether due to the lack of human resources or the imposition of new rules, regulations, government policies or their implementation, interpretation and enforcement. If we are unable to obtain, or experiences material delays in obtaining, necessary government approvals, our operations may be substantially disrupted, which could materially and adversely affect our business, financial condition and results of operations. We are not aware of any governmental licenses or authorizations required to offer our products and services to customers in the jurisdictions we offer such products and services. However, our hash rate sharing business may be subject to U.S. jurisdictions under certain circumstances. See the section entitled “— 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fines and other administrative penalties resulting from the operation of our business, which could materially and adversely affect our business, financial condition and results of operation.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leading cryptocurrency mining service provider with a strong global presence. As of December 31, 2022, we operate five prime mining datacenters in the United States and Norway and served users across over 100 countries and regions around the globe, and may continue to expand our operations to more countries and regions. We are subject to regulation by the multiple government authorities in countries or regions where we have presence, and various jurisdictions may from time to time adopt laws, regulations or directives that affect our businesses. Moreover, the relevant regulatory authorities possess significant powers to enforce applicable regulatory requirements in the event of our non-compliance, including the imposition of fines, sanctions or the revocation of licenses or permits to operate our business. We are subject to regulatory risks with regards to mining, holding, using, or transferring cryptocurrencies, etc., and the uncertainty of the regulatory environment and our ability to anticipate and respond to potential changes in government policies and regulations will have a significant impact on our business operations in countries we operate in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 Any misunderstanding or misinterpretation of the law and regulation could subject us to, among others, the non-compliance investigation by the government authorities. There is no guarantee that we will not face administrative fines or penalties concerning our operations or our subsidiaries, which could have a material adverse impact on our results of operation.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counterfeit products and services are provided under our brand names and trademarks, our reputation and financial results could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Third-party service providers and dealers are separately responsible for sourcing counterfeit services that are performed under our brand names and trademarks. Counterfeit services may be dissatisfying or inferior in quality as compared to authentic services. If our customers are not satisfied by counterfeit services provided under our brand names and trademarks, we may be subject to reputational damage. We believe our brand and reputation are important to our success and competitive position. The discovery of counterfeit services provided under our brand names and trademarks may severally damage our reputation and cause customers to refrain from making future purchases from us, which would materially and adversely affect our business operations and financial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we are appropriately restricting U.S. persons from obtaining our hash rate products, such business should not be subject to U.S. securities laws. However, whether we are effective in avoiding U.S. jurisdiction by actually not offering or selling our hash rate products to U.S. customers would depend on, among others, the existence and effectiveness of measures adopted in practice against U.S. persons obtaining our services, such as screening mechanisms and/or contractual restrictions over transfers of the contracts to</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U.S. persons in the secondary market. If certain U.S. customers, or customers from other jurisdictions where our hash rate sharing may be deemed as securities offerings, end up obtaining access to our hash rate products, and we have not registered the offering of such products, we may be deemed in breach of applicable securities laws. Such breach may result in sizable fines, reputational harms, restrictions of certain businesses, and materially adversely affect our business operation and financial conditions.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were deemed an “investment company” under the Investment Company Act of 1940, as amended, applicable restrictions could make it impractical for us to continue our business as contemplated and could have a material adverse effect on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 issuer will generally be deemed to be an “investment company” for purposes of the 1940 Act if:</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it is an “orthodox” investment company because it is or holds itself out as being engaged primarily, or proposes to engage primarily, in the business of investing, reinvesting or trading in securities;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we are not and will not be primarily engaged in the business of investing, reinvesting or trading in securities, and we do not hold ourself out as being engaged in those activities. We intend to hold ourself out as a cryptocurrency mining business. Accordingly, we do not believe that we are an “orthodox” investment company as described in the first bullet point above.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While certain cryptocurrencies may be deemed to be securities, we do not believe that certain other cryptocurrencies, in particular Bitcoin, are securities; therefore, we believe that less than 40% of our total assets (exclusive of U.S. government securities and cash items) on an unconsolidated basis will comprise cryptocurrencies that could be considered investment securities. Accordingly, we do not believe that we are an inadvertent investment company by virtue of the 40% inadvertent investment company test as described in the second bullet point above. Although we do not believe any of the cryptocurrencies we may own, acquire or mine are securities, there is still some regulatory uncertainty on the subject, see the section entitled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If certain cryptocurrencies, including Bitcoin, were to be deemed securities, and consequently, investment securities by the SEC, we could be deemed an inadvertent investment company.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the Investment Company Act filing requirements. The cost of such compliance would result in us incurring substantial additional expenses, and the failure to register if required would have a materially adverse impact on our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conduct our operations so that we are not required to register as an investment company under the 1940 Act. Specifically, we do not believe that cryptocurrencies, in particular Bitcoin, are securities. The SEC Staff has not provided guidance with respect to the treatment of these assets under the 1940 Act. To the extent the SEC Staff publishes new guidance with respect to these matters, we may be required to adjust our strategy or assets accordingly. There can be no assurance that we will be able to maintain our exclusion from registration as an investment company under the 1940 Act. In addition, as a consequence of our seeking to avoid the need to register under the 1940 Act on an ongoing basis, we may be limited in our ability to engage in cryptocurrency mining operations or otherwise make certain investments, and these limitations could result in us holding assets we may wish to sell or selling assets we may wish to hold, which could materially and adversely affect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were to be deemed an inadvertent investment company, we may seek to rely on Rule 3a-2 under the 1940 Act, which allows an inadvertent investment company a grace period of one year from the earlier of (a) </w:t>
      </w:r>
      <w:r>
        <w:rPr>
          <w:rFonts w:ascii="Times New Roman;Times;serif" w:hAnsi="Times New Roman;Times;serif"/>
          <w:color w:val="231F20"/>
          <w:sz w:val="20"/>
        </w:rPr>
        <w:t>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If we failed to take adequate steps within the one-year grace period for inadvertent investment companies, we would need to register with the SEC as an investment company under the Investment Company Act or cease almost all business, and our contracts would become voidable. In any event, we do not intend to become an investment company engaged in the business of investing and trading securities.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Finally, we believe we are not an investment company under Section 3(b)(1) of the 1940 Act because we are primarily engaged in a non-investment company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cryptocurrencies have grown in both popularity and market size, governments around the world have reacted differently, with certain governments deeming cryptocurrencies illegal, and others allowing their use and trade without restriction. In some jurisdictions, such as in the U.S., cryptocurrencies, such as Bitcoins, are subject to extensive, and in some cases overlapping, unclear and evolving regulatory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Bitcoin is the oldest and most well-known form of cryptocurrency. Bitcoin and other forms of cryptocurrencies have been the source of much regulatory consternation, resulting in differing definitional outcomes without a single unifying statement. Bitcoin and other cryptocurrencies are viewed differently by different regulatory and standards setting organizations globally as well as in the United States on the federal and state levels. For example, the Financial Action Task Force considers a cryptocurrency as currency or an asset, and the Internal Revenue Service (“IRS”) considers a cryptocurrency as property and not currency. Further, the IRS applies general tax principles that apply to property transactions to transactions involving virtual currency.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in the several applications to establish an exchange traded fund (“ETF”) of cryptocurrency, and in the questions raised by the Staff under the 1940 Act, no clear principles emerge from the regulators as to how they view these issues and how to regulate cryptocurrency under the applicable securities acts. It has been widely reported that the SEC has recently issued letters and requested various ETF applications be withdrawn because of concerns over liquidity and valuation and unanswered questions about absence of reporting and compliance procedures capable of being implemented under the current state of the markets for exchange traded funds. On April 20, 2021, the U.S. House of Representatives passed a bipartisan bill titled “Eliminate Barriers to Innovation Act of 2021” (H.R. 1602). If passed by the Senate and enacted into law, the bipartisan bill would create a cryptocurrency working group to evaluate the current legal and regulatory framework around cryptocurrencies in the United States and define when the SEC may have jurisdiction over a particular token or cryptocurrency (i.e., when it is a security) and when the CFTC may have jurisdiction (i.e., on derivatives of a cryptocurrency when it is a commodity).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regulatory changes or interpretations require the regulation of Bitcoin or other cryptocurrencies under the securities laws of the United States or elsewhere, including the Securities Act, the Exchange Act, the 1940 Act, and the Bank Secrecy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determination that any cryptocurrency is a “security” may adversely affect the value of such cryptocurrency and could therefore adversely affect our business, prospects or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Depending on its characteristics, a cryptocurrency may be considered a “security” under the federal securities laws. The test for determining whether a particular cryptocurrency is a “security” is complex and difficult to apply, and the outcome is difficult to predict. Whether a cryptocurrency is a security under the federal securities laws depends on whether it is included in the lists of instruments making up the definition of “security” in the Securities Act, the Exchange Act and the Investment Company Act. Cryptocurrencies as such do not appear in any of these lists, although each list includes the terms “investment contract” and “note,” and the SEC has typically analyzed whether a particular cryptocurrency is a security by reference to whether it meets the tests developed by the federal courts interpreting these terms, known as the “Howey” and “Reves” tests, respectively. For many cryptocurrencies, whether or not the “Howey” or “Reves” tests are met is difficult to resolve definitively, and substantial legal arguments can often be made both in favor of and against a particular digital asset qualifying as a security under one or both of the “Howey” and “Reves” tests. Adding to the complexity, the SEC staff has indicated that the security status of a particular digital asset can change over time as the relevant facts evolve.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Accordingly, cryptocurrencies such as Zcash may currently be a security, based on the facts as they exist today, or may in the future be found by the SEC or a federal court to be a security under the federal securities laws. Historically, we have generated minimum amount of mining yields from Zcash and held minimum amount of Zcash. We do not intend to hold or generate mining yield from cryptocurrencies in violation of the federal securities laws. Accordingly, if Zcash or other cryptocurrencies involved in our business is determined by us, the SEC or other regulatory authorities to be a security under the federal securities laws, it could result in interruption of our business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the SEC may determine that certain cryptocurrencies or interests, for example tokens offered and sold in ICOs, may constitute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do not intend to be engaged in the offer or sale of securities in the form of ICO offerings, and we do not believe our planned mining activities would require registration for us to conduct such activities and accumulate cryptocurrencies, the SEC, CFTC, Nasdaq, IRS or other governmental or quasi-governmental agency or organization may conclude that our activities involve the offer or sale of “securities,” or ownership of “investment securities,” and we may be subject to regulation or registration requirements under various federal laws and related rules. Such regulation or the inability to meet the requirements to continue operations, would have a material adverse effect on our business and operations. We may also face similar issues with various state securities regulators who may interpret our actions as subjecting us to regulation, or requiring registration, under state securities laws, banking laws, or money transmitter and similar laws, which are also an unsettled area or regulation that exposes us to risks.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changes or actions may restrict the use of cryptocurrencies or the operation of cryptocurrency networks in a manner that may require us to cease certain or all operations,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Recently, there has been a significant amount of regulatory attention directed toward cryptocurrencies, cryptocurrency networks and other industry participants by United States federal and state governments, foreign governments and self-regulatory agencies. For example, as cryptocurrencies such as Bitcoin have grown in popularity and in market size, the Federal Reserve Board, U.S. Congress and certain U.S. agencies (e.g., FinCEN, the SEC, the CFTC and the Federal Bureau of Investigation) have begun to examine the operations of the Bitcoin network, Bitcoin users and Bitcoin exchange markets.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local state regulators such as the Texas State Securities Board, the Massachusetts Securities Division of the Office of the Secretary of the Commonwealth, the New Jersey Bureau of Securities, the North Carolina Secretary of State’s Securities Division and the Vermont Department of Financial Regulation have initiated actions against, and investigations of, individuals and companies involved in cryptocurrencies.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Also, in March 2018, the South Carolina Attorney General Office’s Security Division issued a cease-and- desist order against Genesis Mining and Swiss Gold Global, Inc., stating that both companies were to stop doing business in South Carolina and are permanently barred from offering securities in the state in the future since they offered unregistered securities via cloud mining contracts under the South Carolina Uniformed Securities Act of 2005, S.C. Code Ann. § 35-1-101, et seq. (the order against Genesis Mining was subsequently withdrawn). Neither the Company nor, to our knowledge, Matrixport Group, has any direct or indirect relationship with these two companies.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the North Carolina Secretary of State’s Securities Division issued in March 2018 a Temporary Cease and Desist Order against Power Mining Pool (made permanent pursuant to a Final Order on April 19, 2018), ordering it to cease and desist, among other things, offering “mining pool shares,” which were deemed “securities” under N.C. Gen. Stat. 78A-2(11), in North Carolina until they are registered with the North Carolina Secretary of State or are offered for sale pursuant to an exemption from registration under the North Carolina Securities Act, N.C. Gen. Stat. Chapter 78A.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rely on third-party mining pool service providers for mining revenue payouts from our mining operation, and certain of our potential hosting customers could be involved in, or could issue, cloud mining contracts or mining pool shares, and any regulatory restrictions on their practices could significantly reduce demand for our hosting services. Furthermore, it is possible that laws, regulations or directives that affect cryptocurrencies, cryptocurrency transaction processing or blockchain server hosting may change in a manner that may adversely affect our ability to conduct our business and operations in the relevant jurisdiction.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various foreign jurisdictions either have adopted or may adopt laws, regulations or directives that affect cryptocurrencies, cryptocurrency networks and their users and hosting service providers that fall within such jurisdictions’ regulatory scope. Such laws, regulations or directives may conflict with those of the United States, may negatively impact the acceptance of cryptocurrencies by users, merchants and service providers outside of the United States and may therefore impede the growth of cryptocurrency use. A number of countries, including India, South Korea and Russia, among others, currently have a more restrictive stance toward cryptocurrencies and, thereby, have reduced the rate of expansion of cryptocurrency use, as well as cryptocurrency transaction processing, in each of those countries.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Governments may in the future take regulatory actions that prohibit or severely restrict the right to acquire, own, hold, sell, use or trade cryptocurrencies or to exchange cryptocurrencies for fiat currency. Ownership of, holding or trading in cryptocurrencies may then be considered illegal and subject to sanction. Governments may also take regulatory action that may increase the cost and/or subject cryptocurrency mining companies to additional regulation.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By extension, similar actions by governments may result in the restriction of the acquisition, ownership, holding, selling, use or trading in the capital stock of cryptocurrency mining companies, including our common stock. Such a restriction could result in us liquidating our cryptocurrency inventory at unfavorable prices and may adversely affect our shareholders. The effect of any regulatory change, either by federal, state, local or foreign governments or any self-regulatory agencies, on us or our potential hosting customers is impossible to predict, but such change could be substantial and may require us or our potential hosting customers to cease certain or all operations and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Current and future legislation and rulemaking regarding cryptocurrencies may result in extraordinary, non-recurring expenses and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and future legislation and rulemaking by the CFTC and SEC or other regulators, including interpretations released by a regulatory authority, may impact the manner in which cryptocurrencies are treated. For example, cryptocurrencies derivatives are not excluded from the definition of “commodity future” by the CFTC. Furthermore, according to the CFTC, cryptocurrencies fall within the definition of a commodity under the Commodities Exchange Act (the “CEA”) and as a result, we may be required to register and comply with additional regulations under the CEA, including additional periodic reporting and disclosure standards and requirements. We may also be required to register as a commodity pool operator and to register as a commodity pool with the CFTC through the National Futures Association. If we are required to register with the CFTC or another governmental or self-regulatory authority, the scope of our business and operations may be constrained by the rules of such authority and we may be forced to incur additional expenses in the form of licensing fees, professional fees and other costs of compliance.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SEC has issued guidance and made numerous statements regarding the application of securities laws to cryptocurrencies. For example, on July 25, 2017, the SEC issued a Report of Investigation (the “Report”) which concluded that tokens offered and sold by the Decentralized Autonomous Organization (“DAO”), a digital decentralized autonomous organization and investor-directed venture capital fund for cryptocurrencies, were issued for the purpose of raising funds. The Report concluded that these tokens were “investment contracts” within the meaning of Section 2(a)(1) of the Securities Act and Section 3(a)(10) of the Exchange Act, and therefore securities subject to the federal securities laws. In December 2017, the SEC issued a cease- and-desist letter to Munchee Inc., ordering that the company stop its initial coin offering of MUN Tokens on the grounds that it failed to file a registration statement or qualify for an exemption from registration. Similar to the tokens issued by the DAO, the SEC found that the MUN Tokens satisfied the definition of an “investment contract,” and were therefore subject to the federal securities laws. In February 2018, both the SEC and CFTC further reiterated their concerns regarding cryptocurrencies in written testimony to the Senate Banking, Housing and Urban Affairs Committee. On March 7, 2018, the SEC released a “Statement on Potentially Unlawful Online Platforms for Trading Digital Assets,” and reiterated that, if a platform “offers trading of cryptocurrencies that are securities” and “operates as ‘exchange,’ as defined by the federal securities laws,” the platform must register with the SEC as a national securities exchange or be exempt from registration. The SEC’s statement serves as a notice to operators of any platforms, including secondary market trading platforms, which the SEC is actively monitoring for potentially fraudulent or manipulative behavior in the market for security tokens, as the SEC has cautioned recently in the context of ICOs. On November 16, 2018, the SEC released a “Statement on Digital Asset Securities Issuance and Trading,” and emphasized that market participants must adhere to the SEC’s well-established and well-functioning federal securities law framework when dealing with technological innovations, regardless of whether the securities are issued in certificated form or using new technologies, such as blockchain. This has all been followed by additional statements and guidance from the SEC including no-action letters relating to specific blockchain-based projects, and a Framework for “Investment Contract” Analysis of Digital Assets published by the Division of Corporation Finance on April 3, 2019. In an August 2021 interview, SEC Chairman Gensler signaled the SEC is contemplating a robust regulatory regime for cryptocurrencies and reiterated the SEC’s position that many cryptocurrencies are unregulated securities.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SEC has been active in asserting its jurisdiction over ICOs and cryptocurrencies and in bringing enforcement cases. The SEC has directed enforcement activity toward cryptocurrencies, and more specifically, ICOs. In September 2017, the SEC created a new division known as the “Cyber Unit” to address, among other things, violations involving distributed ledger technology and ICOs, and filed a civil complaint in the Eastern District of New York charging a businessman and two companies with defrauding investors in a pair of so-called ICOs purportedly backed by investments in real estate and diamonds (see Securities and Exchange Commission v. REcoin Group Foundation, LLC, et al., Civil Action NO. 17-cv- 05725 (E.D.N.Y, filed Sept. 29, 2017)). Subsequently, the SEC has filed several orders instituting cease-and-desist proceedings against </w:t>
      </w:r>
      <w:r>
        <w:rPr>
          <w:rFonts w:ascii="Times New Roman;Times;serif" w:hAnsi="Times New Roman;Times;serif"/>
          <w:color w:val="231F20"/>
          <w:sz w:val="20"/>
        </w:rPr>
        <w:t>(i) Carrier EQ, Inc., d/b/a AirFox and Paragon Coin, Inc. in connection with their unregistered offerings of tokens (see CarrierEQ, Inc., Rel. No. 33-10575 (Nov. 16, 2018) and Paragon Coin, Inc., Rel. No. 33-10574 (Nov. 16, 2018), respectively), (ii) Crypto Asset Management, LP for failing to register a hedge fund formed for the purpose of investing in cryptocurrencies as an investment company (see Crypto Asset Management, LP and Timothy Enneking, Rel. No. 33-10544 (Sept. 11, 2018)), (iii) TokenLot LLC for failing to register as a broker-dealer, even though it did not meet the definition of an exchange (see Tokenlot LLC, Lenny Kugel, and EliL. Lewitt, Rel. No. 33-10543 (Sept. 11, 2018)) and (iv) EtherDelta’s founder for failing either to register as a national securities exchange or to operate pursuant to an exemption from registration as an exchange   after creating a platform that clearly fell within the definition of  an exchange (see Zachary Coburn, Rel. No. 34-84553 (Nov. 8, 2018)).</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4, 2019, the SEC filed a complaint in the U.S. District Court for the Southern District of New York against Kik Interactive, Inc. with respect to its September 2017 offering of Kin. According to articles published by various news outlets, the SEC has allegedly issued numerous subpoenas and information requests to technology companies, advisers and individuals involved in the cryptocurrency space and ICOs, as part of a broad inquiry into the cryptocurrency market.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Recently, a number of proposed ICOs have sought to rely on Regulation A and have filed with the SEC a Form 1-A covering a distribution of a digital token. Two such offerings were qualified in July 2019. In addition, some token offerings have been commenced as private securities offerings intended to be exempt from SEC registration. Further, the SEC has yet to approve listing and trading any exchange-traded products (such as ETFs) holding cryptocurrencies. The SEC has taken various actions against persons or entities that have allegedly misused cryptocurrencies, engaged in fraudulent schemes (i.e., Ponzi scheme) and/or engaged in the sale of tokens that were deemed securities by the SEC.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our activities are not focused on raising capital or assisting others that do so, the federal securities laws are very broad. We cannot provide assurance as to whether the SEC will continue or increase its enforcement with respect to cryptocurrencies or ICOs, including taking enforcement action against any person engaged in the sale of unregistered securities in violation of the Securities Act or any person acting as an unregistered investment company in violation of the Investment Company Act. Because the SEC has held that certain cryptocurrencies are securities based on the current rules and law, we may be required to register and comply with the rules and regulations under federal securities laws.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be certain as to how future regulatory developments will impact the treatment of cryptocurrencies under the law, including, but not limited to, whether cryptocurrencies will be classified as a security, commodity, currency and/or new or other existing classification. Such additional regulations may result in extraordinary, non-recurring expenses, thereby materially and adversely affecting investment in us. If we determine not to comply with such additional regulatory and registration requirements, we may seek to cease certain or all of our operations. Any such action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Federal or state agencies may impose additional regulatory burdens on our business. Changing laws and regulations and changing enforcement policies and priorities have the potential to cause additional expenditures, restrictions, and delays in connection with our business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Federal and state laws and regulations may be subject to change or changes in enforcement policies or priorities, including changes that may result from changes in the political landscape and changing technologies. Future legislation and regulations, changes to existing laws and regulations, or interpretations thereof, or changes in enforcement policies or priorities, could require significant management attention and cause additional expenditures, restrictions, and delays in connection with our business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Increasing scrutiny and changing expectations from investors, lenders, customers, government regulators and other market participants with respect to our Environmental, Social and Governance (“ESG”) policies may impose additional costs on us or expose us to additional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Companies across all industries and around the globe are facing increasing scrutiny relating to their ESG policies. Investors, lenders and other market participants are increasingly focused on ESG practices and in recent years have placed increasing importance on the implications and social cost of their investments. In February 2021, the Acting Chair of the SEC issued a statement directing the Division of Corporation Finance to enhance its focus on climate-related disclosure in public company filings and in March 2021 the SEC announced the creation of a Climate and ESG Task Force in the Division of Enforcement. The increased focus and activism related to ESG may hinder our access to capital, as investors and lenders may reconsider their capital investment allocation as a result of their assessment of our ESG practices. If we do not adapt to or comply with investor, lender or other industry shareholder expectations and standards and potential government regulations, which are evolving but may relate to the suitable deployment of electric power, or which are perceived to have not responded appropriately to the growing concern for ESG issues, our reputation may suffer which would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risks associated with misleading and/or fraudulent disclosure or use by the creators of cryptocurrencies.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Generally, we rely primarily on a combination of white papers and other disclosure documents prepared by the creators of applicable cryptocurrencies, as well as on our management’s ability to obtain adequate information to evaluate the potential implications of transacting in these cryptocurrencies. However, such white papers and other disclosure documents and information may contain misleading and/or fraudulent statements (which may include statements concerning the creators’ ability to deliver in a timely fashion the product and/or service disclosed in their white papers and other disclosure documents) and/or may not reveal any unlawful activities by the creators. Recently, there has been an increasing number of investigations and lawsuits by the SEC and the CFTC involving cryptocurrency creators for fraud and misappropriation, among other charges. Additionally, FinCEN has increased its enforcement efforts involving cryptocurrency creators regarding compliance with anti-money laundering and Know-Your-Customer laws.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any of these creators make misleading and/or fraudulent disclosures or do not comply with federal, state or foreign laws, or if we are unable to uncover all material information about these cryptocurrencies and/or their creators, we may not be able to make a fully informed business decision relating to our transacting in or otherwise involving such cryptocurrencies, which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management and compliance personnel have limited experience handling a listed cryptocurrency mining- related services company, and our compliance program has a recent history only.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and compliance personnel have limited experience in handling regulatory and compliance matters relating to a listed cryptocurrency mining-related services company. Our key compliance documents and compliance programs, such as AML and KYC procedures, also have a recent history only. We believe that we have measures designed to limit our counterparty risks. For example, we have been monitoring our investments closely and limiting our exposure to the investment risk by including in our operation strategy the requirements to invest only in robust wealth management products and that the investments need to be redeemed within the same fiscal quarter. In order to further limit our exposure to counterparty risk, we adopted an operation strategy in December 2022, pursuant to which we shall not enter into any digital asset based lending or wealth management products in the foreseeable future. While we have been devoting a substantial amount of time and resources to various compliance initiatives and risk management measures, including but not limited to, recruiting a dedicated team of compliance expertise, we cannot assure you the practical application and effectiveness of our compliance program and risk management measures, nor that there will not be a failure in detecting regulatory compliance issues or managing risk exposure, which may adversely affect our reputation, business, financial condition and results 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Securities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market for Class A Ordinary Shares may not develop, which would adversely affect the liquidity and price of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 active trading market for Class A Ordinary Shares may never develop or, if developed, it may not be sustained. You may be unable to sell your Class A Ordinary Shares unless a market can be established and sustained.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of Class A Ordinary Shares may be volatile, and you may lose some or all of your investment.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price of Class A Ordinary Shares may fluctuate due to a variety of factors, including:</w:t>
      </w:r>
    </w:p>
    <w:tbl>
      <w:tblPr>
        <w:tblW w:w="4266" w:type="dxa"/>
        <w:jc w:val="left"/>
        <w:tblInd w:w="0" w:type="dxa"/>
        <w:tblCellMar>
          <w:top w:w="28" w:type="dxa"/>
          <w:left w:w="28" w:type="dxa"/>
          <w:bottom w:w="28" w:type="dxa"/>
          <w:right w:w="28" w:type="dxa"/>
        </w:tblCellMar>
      </w:tblPr>
      <w:tblGrid>
        <w:gridCol w:w="124"/>
        <w:gridCol w:w="256"/>
        <w:gridCol w:w="3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8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the industries in which we operate;</w:t>
            </w:r>
          </w:p>
        </w:tc>
      </w:tr>
    </w:tbl>
    <w:tbl>
      <w:tblPr>
        <w:tblW w:w="3906" w:type="dxa"/>
        <w:jc w:val="left"/>
        <w:tblInd w:w="0" w:type="dxa"/>
        <w:tblCellMar>
          <w:top w:w="28" w:type="dxa"/>
          <w:left w:w="28" w:type="dxa"/>
          <w:bottom w:w="28" w:type="dxa"/>
          <w:right w:w="28" w:type="dxa"/>
        </w:tblCellMar>
      </w:tblPr>
      <w:tblGrid>
        <w:gridCol w:w="124"/>
        <w:gridCol w:w="256"/>
        <w:gridCol w:w="3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developments involving our competitors;</w:t>
            </w:r>
          </w:p>
        </w:tc>
      </w:tr>
    </w:tbl>
    <w:tbl>
      <w:tblPr>
        <w:tblW w:w="4986" w:type="dxa"/>
        <w:jc w:val="left"/>
        <w:tblInd w:w="0" w:type="dxa"/>
        <w:tblCellMar>
          <w:top w:w="28" w:type="dxa"/>
          <w:left w:w="28" w:type="dxa"/>
          <w:bottom w:w="28" w:type="dxa"/>
          <w:right w:w="28" w:type="dxa"/>
        </w:tblCellMar>
      </w:tblPr>
      <w:tblGrid>
        <w:gridCol w:w="124"/>
        <w:gridCol w:w="256"/>
        <w:gridCol w:w="4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laws and regulations affecting our business;</w:t>
            </w:r>
          </w:p>
        </w:tc>
      </w:tr>
    </w:tbl>
    <w:tbl>
      <w:tblPr>
        <w:tblW w:w="7881" w:type="dxa"/>
        <w:jc w:val="left"/>
        <w:tblInd w:w="0" w:type="dxa"/>
        <w:tblCellMar>
          <w:top w:w="28" w:type="dxa"/>
          <w:left w:w="28" w:type="dxa"/>
          <w:bottom w:w="28" w:type="dxa"/>
          <w:right w:w="28" w:type="dxa"/>
        </w:tblCellMar>
      </w:tblPr>
      <w:tblGrid>
        <w:gridCol w:w="124"/>
        <w:gridCol w:w="256"/>
        <w:gridCol w:w="7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5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variations in our operating performance and the performance of our competitors in general;</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actual or anticipated fluctuations in our quarterly or annual operating results;</w:t>
            </w:r>
          </w:p>
        </w:tc>
      </w:tr>
    </w:tbl>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publication of research reports by securities analysts about us or our competitors or our industry;</w:t>
            </w:r>
          </w:p>
        </w:tc>
      </w:tr>
    </w:tbl>
    <w:tbl>
      <w:tblPr>
        <w:tblW w:w="8961" w:type="dxa"/>
        <w:jc w:val="left"/>
        <w:tblInd w:w="0" w:type="dxa"/>
        <w:tblCellMar>
          <w:top w:w="28" w:type="dxa"/>
          <w:left w:w="28" w:type="dxa"/>
          <w:bottom w:w="28" w:type="dxa"/>
          <w:right w:w="28" w:type="dxa"/>
        </w:tblCellMar>
      </w:tblPr>
      <w:tblGrid>
        <w:gridCol w:w="124"/>
        <w:gridCol w:w="256"/>
        <w:gridCol w:w="85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5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public’s reaction to our press releases, our other public announcements and our filings with the SEC;</w:t>
            </w:r>
          </w:p>
        </w:tc>
      </w:tr>
    </w:tbl>
    <w:tbl>
      <w:tblPr>
        <w:tblW w:w="6081" w:type="dxa"/>
        <w:jc w:val="left"/>
        <w:tblInd w:w="0" w:type="dxa"/>
        <w:tblCellMar>
          <w:top w:w="28" w:type="dxa"/>
          <w:left w:w="28" w:type="dxa"/>
          <w:bottom w:w="28" w:type="dxa"/>
          <w:right w:w="28" w:type="dxa"/>
        </w:tblCellMar>
      </w:tblPr>
      <w:tblGrid>
        <w:gridCol w:w="124"/>
        <w:gridCol w:w="256"/>
        <w:gridCol w:w="57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7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actions by holders in respect of any of their Class A Ordinary Shares;</w:t>
            </w:r>
          </w:p>
        </w:tc>
      </w:tr>
    </w:tbl>
    <w:tbl>
      <w:tblPr>
        <w:tblW w:w="3981" w:type="dxa"/>
        <w:jc w:val="left"/>
        <w:tblInd w:w="0" w:type="dxa"/>
        <w:tblCellMar>
          <w:top w:w="28" w:type="dxa"/>
          <w:left w:w="28" w:type="dxa"/>
          <w:bottom w:w="28" w:type="dxa"/>
          <w:right w:w="28" w:type="dxa"/>
        </w:tblCellMar>
      </w:tblPr>
      <w:tblGrid>
        <w:gridCol w:w="124"/>
        <w:gridCol w:w="256"/>
        <w:gridCol w:w="3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additions and departures of key personnel;</w:t>
            </w:r>
          </w:p>
        </w:tc>
      </w:tr>
    </w:tbl>
    <w:tbl>
      <w:tblPr>
        <w:tblW w:w="5556" w:type="dxa"/>
        <w:jc w:val="left"/>
        <w:tblInd w:w="0" w:type="dxa"/>
        <w:tblCellMar>
          <w:top w:w="28" w:type="dxa"/>
          <w:left w:w="28" w:type="dxa"/>
          <w:bottom w:w="28" w:type="dxa"/>
          <w:right w:w="28" w:type="dxa"/>
        </w:tblCellMar>
      </w:tblPr>
      <w:tblGrid>
        <w:gridCol w:w="124"/>
        <w:gridCol w:w="256"/>
        <w:gridCol w:w="5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commencement of, or involvement in, litigation involving us;</w:t>
            </w:r>
          </w:p>
        </w:tc>
      </w:tr>
    </w:tbl>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our capital structure, such as future issuances of securities or the incurrence of debt;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051" w:type="dxa"/>
        <w:jc w:val="left"/>
        <w:tblInd w:w="0" w:type="dxa"/>
        <w:tblCellMar>
          <w:top w:w="28" w:type="dxa"/>
          <w:left w:w="28" w:type="dxa"/>
          <w:bottom w:w="28" w:type="dxa"/>
          <w:right w:w="28" w:type="dxa"/>
        </w:tblCellMar>
      </w:tblPr>
      <w:tblGrid>
        <w:gridCol w:w="124"/>
        <w:gridCol w:w="256"/>
        <w:gridCol w:w="5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volume of Class A Ordinary Shares available for public sale;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the market price of Class A Ordinary Shares could be subject to extreme volatility and fluctuations in response to industry-wide developments beyond our control, such as continued industry-wide fallout from the recent Chapter 11 bankruptcy filings of cryptocurrency exchanges FTX (including its affiliated hedge fund Alameda Research LLC), crypto hedge fund Three Arrows, crypto miners Compute North and Core Scientific and crypto lenders Celsius Network, Voyager Digital and BlockFi. Although, as mentioned elsewhere in this annual report, we have no exposure to any of the cryptocurrency market participants that recently filed for Chapter 11 bankruptcy, or who are known to have experienced excessive redemptions, suspended redemptions or have crypto assets of their customers unaccounted for; and we do not have any assets, material or otherwise, that may not be recovered due to these bankruptcies or excessive or suspended redemptions; the price of Class A Ordinary Shares may still not be immune to unfavorable investor sentiment resulting from these recent developments in the broader cryptocurrency industry and you may experience depreciation of price of Class A Ordinary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“controlled company” within the meaning of the applicable Nasdaq listing rules and, as a result, will qualify for exemptions from certain corporate governance requirements. If we rely on these exemptions, you will not have the same protections afforded to shareholders of companies that are subject to such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“controlled company” within the meaning of  applicable Nasdaq listing rules as a result of  Mr. Jihan Wu’s controlling a majority of the voting power of our outstanding ordinary shares.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that a majority of the board of directors consists of independent directors;</w:t>
            </w:r>
          </w:p>
        </w:tc>
      </w:tr>
    </w:tbl>
    <w:tbl>
      <w:tblPr>
        <w:tblW w:w="9471" w:type="dxa"/>
        <w:jc w:val="left"/>
        <w:tblInd w:w="0" w:type="dxa"/>
        <w:tblCellMar>
          <w:top w:w="28" w:type="dxa"/>
          <w:left w:w="28" w:type="dxa"/>
          <w:bottom w:w="28" w:type="dxa"/>
          <w:right w:w="28" w:type="dxa"/>
        </w:tblCellMar>
      </w:tblPr>
      <w:tblGrid>
        <w:gridCol w:w="124"/>
        <w:gridCol w:w="256"/>
        <w:gridCol w:w="9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an annual performance evaluation of the nominating, corporate governance and compensation committees;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that we have a nominating and corporate governance committee that is composed entirely of independent directors with a written charter addressing the committee’s purpose and responsibilities;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that we have a compensation committee that is composed entirely of independent directors with a written charter addressing the committee’s purpose and responsibility.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intend to use these exemptions as appropriate, and we may continue to use all or some of these exemptions in the future. As a result, you may not have the same protections afforded to shareholders of companies that are subject to all of the Nasdaq corporate governance requirements.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continue to require significant capital investment to support our business, and we may issue additional Class A Ordinary Shares or other equity or convertible debt securities of equal or senior rank in the future without approval of the holders of the Class A Ordinary Shares in certain circumstances.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issuance of additional Class A Ordinary Shares or convertible debt securities of equal or senior rank would have the following effects: (i) our existing holders’ of ordinary shares proportionate ownership interest in the Company may decrease, (ii) the amount of cash available per Ordinary Share, including for payment of dividends in the future, may decrease, (iii) the relative voting power of each previously outstanding Class A Ordinary Shares may be diminished and (iv) the market price of Class A Ordinary Shares may decline. Under certain circumstances, each Class V Ordinary Share will automatically convert into one Class A Ordinary Share (as adjusted for share splits, share combination and similar transactions occurring), but as the conversion ratio is one-to-one, such mandatory conversion would not have a dilutive effect.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employees, directors and consultants of the Company and our subsidiaries and affiliates hold, and are expected to be granted equity awards under the Company’s incentive plan. You will experience additional dilution when those equity awards become vested and exercised, for the Company’s Ordinary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dual-class structure of our ordinary shares may adversely affect price and liquidity of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S&amp;P Dow Jones and FTSE Russell have recently announced changes to their eligibility criteria for inclusion of shares of public companies in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capital structures. As a result, the dual-class structure of our ordinary shares may prevent the inclusion of the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Class A Ordinary Shares. Any actions or publications by shareholder advisory firms critical of our corporate governance practices or capital structure could also adversely affect the value of the Class A Ordinary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Volatility in the price of Class A Ordinary Shares could subject us to securities class action litigation.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sales, or the possibility of future sales of, a substantial number of our Ordinary Shares may depress the price of such securities.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Future sales of a substantial number of our Ordinary Shares in the public market, or the perception that these sales might occur, could depress the market price of the Company’s Ordinary Shares and could impair our ability to raise capital through the sale of additional equity securities.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requirements of being a public company may strain our resources, divert our management’s attention and affect our ability to attract and retain qualified board members.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the reporting requirements of the Securities Exchange Act, the Sarbanes-Oxley Act, the Dodd-Frank Act, Nasdaq listing requirements and other applicable securities rules and regulations. As such, we will incur additional legal, accounting and other expenses.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finance and audit committee and nomination and compensation committee, and to attract and retain qualified executive officers.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Bitdeer has identified a material weakness in its internal control over financial reporting. In the event of any failure to maintain an effective system of disclosure controls and internal control over financial reporting, we may not be able to accurately report its financial results or prevent fraud. As a result, holders of the Class A Ordinary Shares could lose confidence in our financial and other public reporting, which is likely to negatively affect our business and the market price of the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closing of the Business Combination, Bitdeer has been a private company with limited accounting personnel and other resources with which to address Bitdeer’s internal controls and procedures. Bitdeer’s management has not completed an assessment of the effectiveness of Bitdeer’s internal control over financial reporting and Bitdeer’s independent registered public accounting firm has not conducted an audit of Bitdeer’s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Bitdeer identified a material weakness in the design and operating effectiveness of its internal control over financial reporting with respect to the Internal Control — Integrated Framework (2013 Framework) issued by the Committee of Sponsoring Organizations of the Treadway Commission (COSO), concerning in particular the control environment due to lack of sufficient financial reporting and accounting personnel with appropriate knowledge to design, implement and operate key controls over financial reporting process to address complex and emerging technical accounting issues and related disclosures in accordance with IFRS. A material weakness is a deficiency, or a combination of deficiencies, in internal control over financial reporting such that there is a reasonable possibility that a material misstatement of Bitdeer’s annual or interim financial statements will not be prevented or detected on a timely basis. As a consequence of this material weakness, accounting errors were identified in Bitdeer’s combined and consolidated statements of operations and comprehensive loss and cash flows for the years ended December 31, 2020 and 2021 primarily related to revenue presentation in relation to the sales of mining machine business and the cash flow presentation related to the disposal of cryptocurrencies earned from revenue arrangements. The revenue and cost of revenue on the combined statements of operations and comprehensive loss and the operating and investing cash flows on the combined statements of cash flows have been restated as included in this annual report. The material weakness could also result in other misstatements of Bitdeer’s accounts or disclosures, which may result in additional material misstatements in Bitdeer’s annual or interim financial statements that would not be prevented or detected.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Bitdeer has instituted plans to remediate the material weakness, including implementation of appropriate processes with the objective of improving the effectiveness of controls over financial reporting, and following the closing of the Business Combination, we expect to invest more resources in our design and execution of our Sarbanes-Oxley Act compliance program, such as reassessing existing entity-level controls and, as necessary, implementing enhancements to such controls. However, Bitdeer cannot predict the success of such plan or the outcome of its assessment of these plans at this time. If Bitdeer is unable to remediate the material weakness it has identified, or if it identifies additional material weaknesses in the future or otherwise fail to develop and maintain an effective system of internal controls, Bitdeer may not be able to produce timely and accurate financial statements. The failure to implement and maintain effective internal control over financial reporting could result in errors in Bitdeer’s financial statements that could result in a restatement of its financial statements, which in turn could have a material adverse effect on Bitdeer’s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cannot assure you that we will not identify material weaknesses after the Business Combination. Upon becoming a public company, we will be subject to the reporting requirements of the Exchange Act, the Sarbanes-Oxley Act and the rules and regulations of the applicable listing standards of the Nasdaq.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internal control over financial reporting could expose us to increased risk of fraud or misuse of corporate assets and subject us to potential delisting from the stock exchange on which we are listed, regulatory investigations and civil or criminal sanctions. We may also be required to restate our financial statements from prior periods.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financial condition and results of operations, and lead to a decline in the market price of the Class A Ordinary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market volatility could impact the stock price and trading volume of the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trading market for the Class A Ordinary Shares could be impacted by recent market volatility. While we do not believe that we are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the Class A Ordinary Shares.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possible “short squeeze” due to a sudden increase in demand of Class A Ordinary Shares that largely exceeds supply may lead to price volatility in the Class A Ordinary Shares. Investors may purchase Class A Ordinary Shares to hedge existing exposure or to speculate on the price of the Class A Ordinary Shares. Speculation on the price of Class A Ordinary Shares may involve both long and short exposures. To the extent aggregate short exposure exceeds the number of Class A Ordinary Shares available for purchase (for example, in the event that large redemption requests dramatically affect liquidity), investors with short exposure may have to pay a premium to repurchase Class A Ordinary Shares for delivery to lenders. Those repurchases may in turn, dramatically increase the price of the Class A Ordinary Shares. This is often referred to as a “short squeeze.” A short squeeze could lead to volatile price movements in the Class A Ordinary Shares that are not directly correlated to the operating performance of us.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paid any dividend in the past, and investors may be dependent entirely on price appreciation of Class A Ordinary Shares for return on their investment subject to our future dividend policy.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paid any dividend in the past. It is expected that we will retain most, if not all, of our available funds and any future earnings to fund the development and growth of our business. Therefore, investors should not rely on an investment in Class A Ordinary Shares as a source for any future dividend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will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Class A Ordinary Shares will appreciate in value or that the trading price of the Class A Ordinary Shares will not decline.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and industry analysts do not publish research or publish inaccurate or unfavorable research or cease publishing research about us, the price and trading volume of Class A Ordinary Shares could decline significantly.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trading market for Class A Ordinary Shares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Class A Ordinary Shares could decrease, which might cause our price and trading volume to decline significantly. In the event that we obtain securities or industry analyst coverage, if one or more of the analysts who cover us downgrade their assessment of us or publish inaccurate or unfavorable research about our business, the market price and liquidity for Class A Ordinary Shares could be negatively impacted.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domestic public companies in the United States.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we are a foreign private issuer under the Exchange Act, we are exempt from certain provisions of the securities rules and regulations in the United States that are applicable to U.S. domestic issuers, including: (i) </w:t>
      </w:r>
      <w:r>
        <w:rPr>
          <w:rFonts w:ascii="Times New Roman;Times;serif" w:hAnsi="Times New Roman;Times;serif"/>
          <w:color w:val="231F20"/>
          <w:sz w:val="20"/>
        </w:rPr>
        <w:t>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exempted company incorporated in the Cayman Islands listed on Nasdaq. Nasdaq market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Among other things, we are not required to have: (i) a majority of the board of directors consist of independent directors; (ii) a compensation committee consisting of independent directors; (iii) a nominating committee consisting of independent directors; or (iv) regularly scheduled executive sessions with only independent directors each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not required and as may be changed from time to time, we intend to have a majority- independent board of directors, a majority-independent compensation committee and a nominating committee. Subject to the foregoing, we intend to rely on the exemptions listed above. As a result, you may not be provided with the benefits of certain corporate governance requirements of Nasdaq applicable to U.S. domestic public companies.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exempted company limited by shares incorporated under the laws of the Cayman Islands, and will conduct a substantial portion of our operations through our subsidiary, Bitdeer, outside the United States. A substantial portion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jurisdictions that comprise the Southeast Asian region could render you unable to enforce a judgment against our assets or the assets of our directors and officers.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our corporate affairs will be governed by the amended and restated memorandum and articles of association of the Company, the Cayman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ordinary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or to obtain copies of lists of shareholders of these companies. Our directors will have discretion under the amended and restated memorandum and articles of association of the Company to determine whether or not, and under what conditions, our corporate records may be inspected by our ordinary shareholders, but we are not obliged to make them available to the ordinary shareholders. This may make it more difficult for you to obtain the information needed to establish any facts necessary for a shareholder to motion or to solicit proxies from other shareholders in connection with a proxy contest.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 “emerging growth company,” as defined under the federal securities laws, and we cannot be certain if the reduced disclosure requirements applicable to emerging growth companies will make the Class A Ordinary Shares less attractive to investors.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Securities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and reduced disclosure obligations regarding executive compensation and exemptions from the requirements of holding a nonbinding shareholder advisory vote on executive compensation and shareholder approval of any golden parachute payments not previously approved. As a result, holders of Ordinary Shares may not have access to certain information that they may deem important.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remain an emerging growth company until the earlier of (i) the last day of the fiscal year (a) </w:t>
      </w:r>
      <w:r>
        <w:rPr>
          <w:rFonts w:ascii="Times New Roman;Times;serif" w:hAnsi="Times New Roman;Times;serif"/>
          <w:color w:val="231F20"/>
          <w:sz w:val="20"/>
        </w:rPr>
        <w:t>following the fifth anniversary of the closing of the Business Combination, (b) in which we have total annual gross revenues of at least US$1.235 billion, (c) or in which we are deemed to be a large accelerated filer, which means the market value of our shares that is held by non-affiliates exceeds US$700 million as of the last business day of our prior second fiscal quarter, and (ii) the date on which we issued more than US$1.0 billion in non-convertible debt during the prior three-year period. If some investors find the Class A Ordinary Shares less attractive as a result, there may be a less active trading market for the Class A Ordinary Shares, the price of Class A Ordinary Shares may be more volatile and the price of the Class A Ordinary Shares may decline.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Taxation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tax risks related to our multinational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taxes in various overseas jurisdictions where we operate. Tax laws and practices applicable in the various jurisdictions we operate in are complex and sophisticated, and we face risks of tax incompliance caused by misunderstanding of regional tax policies or different tax administration enforcement. Due to economic and political conditions, tax rates in various jurisdictions may be subject to significant changes. Our effective tax rates could be affected by changes in the mix of earnings in countries with different statutory tax rates, changes in the valuation of deferred tax assets and liabilities, or changes in tax laws or their interpretation.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also subject to the examination of tax returns and other tax matters by domestic and international tax authorities and governmental bodies.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or become a PFIC, which could result in adverse U.S. federal income tax consequences to U.S. Holders of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Company’s analysis of its income, assets, activities, and market capitalization, the Company believes that it was not a PFIC for its taxable year ended December 31, 2022.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proprietary cryptocurrency 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the Company is (or is treated with respect to a U.S. Holder as) a PFIC for any taxable year during which a U.S. Holder owns Class A Ordinary Shares, the U.S. Holder generally will be subject to adverse U.S. federal income tax consequences, including increased tax liability on disposition gains and certain “excess distributions” and additional reporting requirements. Prospective U.S. Holders of Class A Ordinary Shares should consult their tax advisers regarding the application of the PFIC rules in their particular circumstances.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U.S. federal income tax purposes, each “Ten Percent Shareholder” (as defined below) in a non-U.S. corporation that is classified as a “controlled foreign corporation” (a “CFC”) generally is required to include in income such Ten Percent Shareholder’s pro rata share of the CFC’s “Subpart F income,” investment of earnings in U.S. property, and “global intangible low-taxed income,” even if the CFC has made no distributions to its shareholders. Subpart F income generally includes dividends, interest, rents, royalties, gains from the sale of securities and income from certain transactions with related parties, and “global intangible low-taxed income” generally consists of net income of the CFC, other than Subpart F income and certain other types of income, in excess of certain thresholds. A non-U.S. corporation generally will be classified as a CFC if Ten Percent Shareholders own, directly, indirectly or constructively (through attribution), more than 50% of either the total combined voting power of all classes of stock entitled to vote of such corporation or of the total value of the stock of such corporation. A “Ten Percent Shareholder” is a United States person (as defined by the Code) who owns or is considered to own, directly, indirectly or constructively, 10% or more of either the total combined voting power of all classes of stock entitled to vote of such corporation or the total value of the stock of such corporation. The determination of CFC status is complex and includes certain “downward attribution” rules pursuant to which the Company’s non-U.S. subsidiaries may be treated as constructively owned by the Company’s U.S. subsidiaries and, therefore, the Company’s non-U.S. subsidiaries may be treated as CFCs. Prospective holders of Class A Ordinary Shares that may be or become Ten Percent Shareholders should consult their tax advisors with respect to the application of the CFC rules in their particular circumstances.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changes to tax laws could materially and adversely affect the Company and reduce net returns to the Company’s shareholders.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tax treatment is subject to changes in tax laws, regulations, and treaties, or the interpretation thereof, tax policy initiatives and reforms under consideration, and the practices of tax authorities in jurisdictions in which the Company operates. For instance, the Inflation Reduction Act of 2022 imposes, among other rules, a 15% minimum tax on the book income of certain large corporations and a 1% excise tax on certain corporate stock repurchases. The income and other tax rules in the jurisdictions in which the Company operates are constantly under review by taxing authorities and other governmental bodies. Changes to tax laws (which changes may have retroactive application) could adversely affect the Company or its shareholders. The Company is unable to predict what tax proposals may be proposed or enacted in the future or what effect such changes would have on the Company’s business, but such changes, to the extent they are brought into tax legislation, regulations, policies or practices, could affect the Company’s financial position and overall or effective tax rates in the future in countries where the Company has operations and where the Company is organized or resident for tax purposes, and increase the complexity, burden and cost of tax compliance. The Company urges investors to consult with their legal and tax advisers regarding the implication of potential changes in tax laws on an investment in Class A Ordinary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Cryptocurrencies and transactions may be subject to further taxation in the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recent years, the rise of cryptocurrency prices and transaction volume has attracted the attention of tax authorities. As the laws governing cryptocurrencies are still evolving, the tax treatment of cryptocurrencies in various jurisdictions is subject to change. New laws or legislations, such as the ones introduced in the United States under the “Infrastructure Investment and Jobs Act,” commonly referred to as the “infrastructure bill,” which was signed into law on November 15, 2021, will include tax reporting provisions that apply to cryptocurrencies. Introductions of more stringent provisions on reporting or surveillance of cryptocurrencies and cryptocurrencies will likely be an ongoing trend from authorities worldwide. We caution that these new provisions may direct or indirectly impact scrutiny and assessments in relation to taxation. While some countries have expressed an intention to or have imposed taxation on cryptocurrencies and transactions, other tax authorities have been silent. As there is considerable uncertainty over the taxation of cryptocurrencies, there is no guarantee that the cryptocurrencies and transactions denominated in cryptocurrencies will not be subject to further taxation in the future, including but not limited to additional taxes and increased tax rate. These events could reduce the economic return of cryptocurrency and increase the holding costs of cryptocurrencies, rendering the cryptocurrency mining solutions we provide less attractive to customers, which could materially and adversely affect our business, results of operations and financial condition.</w:t>
      </w:r>
    </w:p>
    <w:p>
      <w:pPr>
        <w:pStyle w:val="TextBody"/>
        <w:spacing w:before="0" w:after="240"/>
        <w:ind w:left="0" w:right="0" w:hanging="0"/>
        <w:rPr>
          <w:rFonts w:ascii="Times New Roman;Times;serif" w:hAnsi="Times New Roman;Times;serif"/>
          <w:b/>
          <w:sz w:val="20"/>
        </w:rPr>
      </w:pPr>
      <w:bookmarkStart w:id="50" w:name="ITEM4INFORMATIONONTHECOMPANY_963827"/>
      <w:bookmarkStart w:id="51" w:name="_912f1242_84aa_4a18_84c1_3b45d9e81230"/>
      <w:bookmarkEnd w:id="50"/>
      <w:bookmarkEnd w:id="51"/>
      <w:r>
        <w:rPr>
          <w:rFonts w:ascii="Times New Roman;Times;serif" w:hAnsi="Times New Roman;Times;serif"/>
          <w:b/>
          <w:sz w:val="20"/>
        </w:rPr>
        <w:t>ITEM 4. INFORMATION ON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color w:val="231F20"/>
          <w:sz w:val="20"/>
        </w:rPr>
        <w:t xml:space="preserve">We were created as Bitdeer Technologies Holding Company in January 2021 to separate </w:t>
      </w:r>
      <w:r>
        <w:rPr>
          <w:rFonts w:ascii="Times New Roman;Times;serif" w:hAnsi="Times New Roman;Times;serif"/>
          <w:sz w:val="20"/>
        </w:rPr>
        <w:t>the </w:t>
      </w:r>
      <w:r>
        <w:rPr>
          <w:rFonts w:ascii="Times New Roman;Times;serif" w:hAnsi="Times New Roman;Times;serif"/>
          <w:i/>
          <w:sz w:val="20"/>
        </w:rPr>
        <w:t>Cloud Hash Rate</w:t>
      </w:r>
      <w:r>
        <w:rPr>
          <w:rFonts w:ascii="Times New Roman;Times;serif" w:hAnsi="Times New Roman;Times;serif"/>
          <w:sz w:val="20"/>
        </w:rPr>
        <w:t xml:space="preserve"> business, the proprietary mining business and the business of providing dynamic hosting solutions (collectively, the “Bitdeer Business”) and the mining pool business, including the ownership of and registration right to the domain name btc.com (the “BTC.com Pool Business” or “BTC”), following a corporate reorganization of </w:t>
      </w:r>
      <w:r>
        <w:rPr>
          <w:rFonts w:ascii="Times New Roman;Times;serif" w:hAnsi="Times New Roman;Times;serif"/>
          <w:color w:val="231F20"/>
          <w:sz w:val="20"/>
        </w:rPr>
        <w:t>BitMain Technologies Holding Company (collectively with its subsidiaries, “Bitmain”). The separation from Bitmain resulted in the transfer of certain assets, liabilities and contracts related to the Bitdeer Business and the BTC.com Pool Business at their historical book values from Bitmain to us on January 26, 2021, when Bitmain distributed by way of dividend in kind the shares of us to the then existing Bitmain shareholders and we and our subsidiaries began to operate on a stand-alone basis.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2021, we established Blockchain Alliance Technologies Holding Company (“Blockchain Alliance”) to separate the BTC.com Pool Business following a corporate reorganization of our group. The separation was consummated on April 15, 2021, when we distributed by way of dividend in kind the shares of Blockchain Alliance to the then existing shareholders of our group.</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2023, the Business Combination was completed, upon which Bitdeer Technologies Group became the ultimate corporate parent of our group, and the Class A Ordinary Shares were listed on the Nasdaq under the symbol “BTDR.” See the section entitled “Explanatory Note” in this annual report for additional information regarding the Company and the Business Combination. Certain additional information about us is set forth in “Item 4.B — Business Overview” and is incorporated herein by reference. The material terms of the Business Combination are set forth in Item 10 of this annual report.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registered office is c/o International Corporation Services Ltd., P.O. Box 472, Harbour Place, 2nd Floor, 103 South Church Street, George Town, Grand Cayman KY1-1106, Cayman Islands, and our principal executive office is 08 Kallang Avenue, Aperia tower 1, #09-03/04, Singapore 339509. Our principal website address is https://www.bitdeer.com. We do not incorporate the information contained on, or accessible through, our websites into this annual report, and you should not consider it a part of this annual report. The SEC maintains an Internet site that contains reports, proxy and information statements, and other information regarding issuers that file electronically with the SEC. The SEC’s website is </w:t>
      </w:r>
      <w:r>
        <w:rPr>
          <w:rFonts w:ascii="Times New Roman;Times;serif" w:hAnsi="Times New Roman;Times;serif"/>
          <w:i/>
          <w:sz w:val="20"/>
        </w:rPr>
        <w:t>www.sec.gov</w:t>
      </w:r>
      <w:r>
        <w:rPr>
          <w:rFonts w:ascii="Times New Roman;Times;serif" w:hAnsi="Times New Roman;Times;serif"/>
          <w:sz w:val="20"/>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reflects the business of Bitdeer. Unless the context otherwise requires, all references in this section to the “Company,” “we,” “us,” “our” or “Bitdeer” refer collectively to Bitdeer Technologies Holding Company and its subsidiaries.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world-leading technology company for the cryptocurrency mining community. We mine cryptocurrencies for our own account and serve the cryptocurrency mining community by providing innovative, reliable and easy-to-use cryptocurrency mining solutions. Headquartered in Singapore, we currently operate five proprietary mining datacenters in the United States and Norway with an aggregate electricity capacity of 795MW as of March 31, 2023. From these mining datacenters, we generate managing hash rate which is categorized into proprietary and hosting hash rate. As of March 31, 2023, our proprietary hash rate reached 5.7 EH/s. Together with the 12.6 EH/s hosting hash rate generated from mining machines hosted in our mining datacenters, we possessed a total of 18.3 EH/s of managing hash rate as of March 31, 2023.</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date, we primarily operate three business lines — “proprietary mining,” “hash rate sharing” and “hosting.” Proprietary mining refers to cryptocurrency mining for our own account, which allows us to directly capture the high appreciation potential of cryptocurrency. We offer two types of hash rate sharing solutions, </w:t>
      </w:r>
      <w:r>
        <w:rPr>
          <w:rFonts w:ascii="Times New Roman;Times;serif" w:hAnsi="Times New Roman;Times;serif"/>
          <w:i/>
          <w:sz w:val="20"/>
        </w:rPr>
        <w:t xml:space="preserve">Cloud Hash Rate </w:t>
      </w:r>
      <w:r>
        <w:rPr>
          <w:rFonts w:ascii="Times New Roman;Times;serif" w:hAnsi="Times New Roman;Times;serif"/>
          <w:sz w:val="20"/>
        </w:rPr>
        <w:t xml:space="preserve">and </w:t>
      </w:r>
      <w:r>
        <w:rPr>
          <w:rFonts w:ascii="Times New Roman;Times;serif" w:hAnsi="Times New Roman;Times;serif"/>
          <w:i/>
          <w:sz w:val="20"/>
        </w:rPr>
        <w:t>Hash Rate Marketplace</w:t>
      </w:r>
      <w:r>
        <w:rPr>
          <w:rFonts w:ascii="Times New Roman;Times;serif" w:hAnsi="Times New Roman;Times;serif"/>
          <w:sz w:val="20"/>
        </w:rPr>
        <w:t xml:space="preserve">. Through </w:t>
      </w:r>
      <w:r>
        <w:rPr>
          <w:rFonts w:ascii="Times New Roman;Times;serif" w:hAnsi="Times New Roman;Times;serif"/>
          <w:i/>
          <w:sz w:val="20"/>
        </w:rPr>
        <w:t>Cloud Hash Rate</w:t>
      </w:r>
      <w:r>
        <w:rPr>
          <w:rFonts w:ascii="Times New Roman;Times;serif" w:hAnsi="Times New Roman;Times;serif"/>
          <w:sz w:val="20"/>
        </w:rPr>
        <w:t xml:space="preserve">, we sell our proprietary hash rate to customers. We offer hash rate subscription plans at fixed price and share mining income with them under certain arrangements. Through </w:t>
      </w:r>
      <w:r>
        <w:rPr>
          <w:rFonts w:ascii="Times New Roman;Times;serif" w:hAnsi="Times New Roman;Times;serif"/>
          <w:i/>
          <w:sz w:val="20"/>
        </w:rPr>
        <w:t>Hash Rate Marketplace</w:t>
      </w:r>
      <w:r>
        <w:rPr>
          <w:rFonts w:ascii="Times New Roman;Times;serif" w:hAnsi="Times New Roman;Times;serif"/>
          <w:sz w:val="20"/>
        </w:rPr>
        <w:t xml:space="preserve">, we connect reliable third-party hash rate suppliers with hash rate users to facilitate hash rate sales and generate revenue from charging service fees. Our hosting services offer customers one-stop mining machine hosting solutions encompassing deployment, maintenance and management services for efficient cryptocurrency mining. Among a wide selection of hosting services, customers can either subscribe to our </w:t>
      </w:r>
      <w:r>
        <w:rPr>
          <w:rFonts w:ascii="Times New Roman;Times;serif" w:hAnsi="Times New Roman;Times;serif"/>
          <w:i/>
          <w:sz w:val="20"/>
        </w:rPr>
        <w:t xml:space="preserve">Cloud Hosting </w:t>
      </w:r>
      <w:r>
        <w:rPr>
          <w:rFonts w:ascii="Times New Roman;Times;serif" w:hAnsi="Times New Roman;Times;serif"/>
          <w:sz w:val="20"/>
        </w:rPr>
        <w:t xml:space="preserve">service for the specified mining machines from which they derive computing power under a “group-buying” model, or send their mining machines to our mining datacenters for hosting under the </w:t>
      </w:r>
      <w:r>
        <w:rPr>
          <w:rFonts w:ascii="Times New Roman;Times;serif" w:hAnsi="Times New Roman;Times;serif"/>
          <w:i/>
          <w:sz w:val="20"/>
        </w:rPr>
        <w:t xml:space="preserve">General Hosting </w:t>
      </w:r>
      <w:r>
        <w:rPr>
          <w:rFonts w:ascii="Times New Roman;Times;serif" w:hAnsi="Times New Roman;Times;serif"/>
          <w:sz w:val="20"/>
        </w:rPr>
        <w:t xml:space="preserve">option or the </w:t>
      </w:r>
      <w:r>
        <w:rPr>
          <w:rFonts w:ascii="Times New Roman;Times;serif" w:hAnsi="Times New Roman;Times;serif"/>
          <w:i/>
          <w:sz w:val="20"/>
        </w:rPr>
        <w:t xml:space="preserve">Membership Hosting </w:t>
      </w:r>
      <w:r>
        <w:rPr>
          <w:rFonts w:ascii="Times New Roman;Times;serif" w:hAnsi="Times New Roman;Times;serif"/>
          <w:sz w:val="20"/>
        </w:rPr>
        <w:t xml:space="preserve">option. All of our three business lines are supported by </w:t>
      </w:r>
      <w:r>
        <w:rPr>
          <w:rFonts w:ascii="Times New Roman;Times;serif" w:hAnsi="Times New Roman;Times;serif"/>
          <w:i/>
          <w:sz w:val="20"/>
        </w:rPr>
        <w:t>Minerplus</w:t>
      </w:r>
      <w:r>
        <w:rPr>
          <w:rFonts w:ascii="Times New Roman;Times;serif" w:hAnsi="Times New Roman;Times;serif"/>
          <w:sz w:val="20"/>
        </w:rPr>
        <w:t>, our self-developed integrated intelligent software platform, which offers software support to significantly reduce time needed for daily maintenance and mining machine upgrade and substantially decrease operation and maintenance headcount.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source mining machines from a wide variety of manufacturers and traders with whom we have built robust relationships over the years. As a result, the majority of our mining machines are spot machines for the most recent and most commonly used models procured at a favorable price, which ensures high energy efficiency and stable hash rate supply both in quality and in quantum. We also engage in the sales of mining machines from time to time. We stay at the forefront of technology development. As a market player who is able to obtain a hash rate unit of 1TH/s through our hash rate slicing technology, we have been successfully maintaining a less than 1% fluctuation for 98% of our hash rate sales contracts as of March 31,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2023, we generated 5.7 EH/s proprietary hash rate from our proprietary mining machines and operated mining datacenters with an aggregate electricity capacity of 795MW. Our revenue increased by 111.7% from US$186.4 million for the year ended December 31, 2020 to US$394.7 million for the year ended December 31, 2021. For the year ended December 31, 2022, our total net revenue was  US$333.3 million. We incurred net loss of US$55.8 million for the year ended December 31, 2020, generated net profit of US$82.6 million for the year ended December 31, 2021, and incurred net loss of US$60.4 million for the year ended December 31, 2022. Our adjusted EBITDA increased by 479.2% from US$48.7 million for the year ended December 31, 2020 to US$281.8 million for the year ended December 31, 2021. For the year ended December 31, 2022, our adjusted EBITDA was US$93.2 million. We incurred adjusted loss of US$55.8 million for the year ended December 31, 2020, and incurred adjusted profits of US$171.0 million and US$30.3 million for the year ended December 31, 2021 and 2022, respectively, where adjusted profit/(loss) is defined as profit/(loss) adjusted to exclude share-based payment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crypto asset market, especially the price of Bitcoin, has been highly volatile. Recent industry-wide developments, including the continued industry-wide fallout from the recent Chapter 11 bankruptcy filings of cryptocurrency exchange FTX (including its affiliated hedge fund Alameda Research LLC), crypto hedge fund Three Arrows, crypto miners Compute North and Core Scientific and crypto lenders Celsius Network, Voyager Digital and BlockFi, are beyond our control. We are not directly affected by these recent incidents, as we do not have any counterparty credit exposure to the above-mentioned firms nor expect their potential bankruptcy to have any direct impact on our business or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That being said, the decrease and volatility of Bitcoin price as a result of the recent industry-wide developments has affected our business, financial condition and results of operations. Specifically, our proprietary mining business has become less profitable due to the drop in Bitcoin price. For the hash rate sharing and hosting businesses, the demand for such products has become lower due to the relatively bearish market on Bitcoin and the crypto asset market in general. However, we believe that, as compared to many other participants in the crypto assets markets, we are more resilient to cryptocurrency price volatility as our “hash rate sharing” and “hosting” businesses allow us to smooth the impact of cryptocurrency price volatility, as compared to “proprietary mining.”</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Strengths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following strengths contribute to our success and differentiate us from our competitors.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World’s leading scale of proprietary hash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2023, our proprietary hash rate operated in our global mining datacenters reached 5.7 EH/s. Our proprietary hash rate provides us with a clear edge across our business lines and anchors our unique business model. High proprietary hash rate increases our chance of success in obtaining cryptocurrency rewards. It also allows a stable supply of hash rate products to our customers through </w:t>
      </w:r>
      <w:r>
        <w:rPr>
          <w:rFonts w:ascii="Times New Roman;Times;serif" w:hAnsi="Times New Roman;Times;serif"/>
          <w:i/>
          <w:sz w:val="20"/>
        </w:rPr>
        <w:t>Cloud Hash Rate.</w:t>
      </w:r>
      <w:r>
        <w:rPr>
          <w:rFonts w:ascii="Times New Roman;Times;serif" w:hAnsi="Times New Roman;Times;serif"/>
          <w:sz w:val="20"/>
        </w:rPr>
        <w:t xml:space="preserve"> Leveraging our track record of operating the </w:t>
      </w:r>
      <w:r>
        <w:rPr>
          <w:rFonts w:ascii="Times New Roman;Times;serif" w:hAnsi="Times New Roman;Times;serif"/>
          <w:i/>
          <w:sz w:val="20"/>
        </w:rPr>
        <w:t>Cloud Hash Rate</w:t>
      </w:r>
      <w:r>
        <w:rPr>
          <w:rFonts w:ascii="Times New Roman;Times;serif" w:hAnsi="Times New Roman;Times;serif"/>
          <w:sz w:val="20"/>
        </w:rPr>
        <w:t xml:space="preserve"> business, we boosted user confidence in our brand and were able to launch </w:t>
      </w:r>
      <w:r>
        <w:rPr>
          <w:rFonts w:ascii="Times New Roman;Times;serif" w:hAnsi="Times New Roman;Times;serif"/>
          <w:i/>
          <w:sz w:val="20"/>
        </w:rPr>
        <w:t>Hash Rate Marketplace</w:t>
      </w:r>
      <w:r>
        <w:rPr>
          <w:rFonts w:ascii="Times New Roman;Times;serif" w:hAnsi="Times New Roman;Times;serif"/>
          <w:sz w:val="20"/>
        </w:rPr>
        <w:t xml:space="preserve"> as our hash rate retail platform in 2021. In addition to proprietary hash rate, we also generate hosting hash rate, the other category of our total managing hash rate, from mining machines that are hosted in our mining datacenters. Together with the 12.6 EH/s hosting hash rate, we managed a total of 18.3 EH/s hash rate as of March 31, 2023. As of March 31, 2023, we operated five proprietary mining datacenters in the United States and Norway to support our proprietary and hosting hash rate.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Unique business model powers organic hash rate expansion by generating instant and continuous cash</w:t>
      </w:r>
    </w:p>
    <w:p>
      <w:pPr>
        <w:pStyle w:val="TextBody"/>
        <w:spacing w:before="0" w:after="180"/>
        <w:ind w:left="0" w:right="0" w:firstLine="360"/>
        <w:jc w:val="both"/>
        <w:rPr>
          <w:rFonts w:ascii="Times New Roman;Times;serif" w:hAnsi="Times New Roman;Times;serif"/>
          <w:sz w:val="20"/>
        </w:rPr>
      </w:pPr>
      <w:r>
        <w:rPr>
          <w:rFonts w:ascii="Times New Roman;Times;serif" w:hAnsi="Times New Roman;Times;serif"/>
          <w:sz w:val="20"/>
        </w:rPr>
        <w:t xml:space="preserve">We have established a business model that allows us to constantly reinforce our market-leading position and outpace our competitors in terms of scaling up our proprietary hash rate. A prevailing strategy to profit from proprietary hash rate is mining. The cryptocurrencies mined can be sold at a profit when their market value is high enough to cover the cost of mining machines, electricity fees and other mining-related expenses. While we remain engaged in proprietary mining business to capture the high appreciation potential of cryptocurrency, we strategically allocate a significant amount of proprietary hash rate to hash rate sales through </w:t>
      </w:r>
      <w:r>
        <w:rPr>
          <w:rFonts w:ascii="Times New Roman;Times;serif" w:hAnsi="Times New Roman;Times;serif"/>
          <w:i/>
          <w:sz w:val="20"/>
        </w:rPr>
        <w:t>Cloud Hash Rate</w:t>
      </w:r>
      <w:r>
        <w:rPr>
          <w:rFonts w:ascii="Times New Roman;Times;serif" w:hAnsi="Times New Roman;Times;serif"/>
          <w:sz w:val="20"/>
        </w:rPr>
        <w:t>, to enable instant cash payback upon customers’ subscription to our hash rate plans. We have successfully boosted sales for hash rate, in particular, for long-term hash rate subscription plans (i.e., plans with a term longer than 720 days) by providing an increasing amount of reliable and transparent hash rate supply</w:t>
      </w:r>
      <w:r>
        <w:rPr>
          <w:rFonts w:ascii="Times New Roman;Times;serif" w:hAnsi="Times New Roman;Times;serif"/>
          <w:i/>
          <w:sz w:val="20"/>
        </w:rPr>
        <w:t xml:space="preserve">. </w:t>
      </w:r>
      <w:r>
        <w:rPr>
          <w:rFonts w:ascii="Times New Roman;Times;serif" w:hAnsi="Times New Roman;Times;serif"/>
          <w:sz w:val="20"/>
        </w:rPr>
        <w:t>We generally generate proceeds from hash rate sales under long-term hash rate subscription plans that approximate the purchase cost of mining machines. Therefore, we are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18 months, according to Frost &amp; Sullivan. This unique model also allows us to smooth the impact of cryptocurrency price volatility as our proceeds from hash rate sales are less directly related to cryptocurrency price compared to proprietary mining.</w:t>
      </w:r>
    </w:p>
    <w:p>
      <w:pPr>
        <w:pStyle w:val="TextBody"/>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Ample power supply and low electricity cost secured by global mining datacenters</w:t>
      </w:r>
    </w:p>
    <w:p>
      <w:pPr>
        <w:pStyle w:val="TextBody"/>
        <w:spacing w:before="0" w:after="180"/>
        <w:ind w:left="0" w:right="0" w:firstLine="360"/>
        <w:jc w:val="both"/>
        <w:rPr>
          <w:rFonts w:ascii="Times New Roman;Times;serif" w:hAnsi="Times New Roman;Times;serif"/>
          <w:sz w:val="20"/>
        </w:rPr>
      </w:pPr>
      <w:r>
        <w:rPr>
          <w:rFonts w:ascii="Times New Roman;Times;serif" w:hAnsi="Times New Roman;Times;serif"/>
          <w:sz w:val="20"/>
        </w:rPr>
        <w:t xml:space="preserve">We strategically opened five mining datacenters in the United States and Norway. As of March 31, 2023, our mining datacenters had a power supply of 795MW. We plan to expand our footprints across the globe to increase our total electricity capacity to approximately 1,524MW, including 179MW power supply under construction and 550MW power supply “in the pipeline,” contracted or negotiated but not yet under active construction. We expect to generate 100MW out of the 550MW power supply from Bhutan, where the construction of mining datacenter is expected to begin in the second quarter of 2023 and complete in the third quarter of 2023. Our premier mining datacenters allowed us to reach an average electricity cost of our mining datacenters to US$50/MWh for the year ended December 31, 2022 and US$36/MWh for the three months ended March 31, 2023. Our ability to secure ample power supply with low electricity cost is underpinned by our top-notch experience and capabilities in global mining datacenters deployment and operation. We pioneer in deploying and operating mining datacenters globally. With experience in site selection, facility design, construction and maintenance in over 30 locations around the globe, our dedicated global team for mining datacenter construction understands the critical needs of Bitcoin mining as well as the complex and constantly evolving global landscape of electricity supply. They also have extensive connections with local electricity experts and power enterprises around the world. We are the first in the industry to develop the “PERT” approach to secure prime locations for our mining datacenters, which stands for a comprehensive site selection approach encompassing local electricity and cryptocurrency mining </w:t>
      </w:r>
      <w:r>
        <w:rPr>
          <w:rFonts w:ascii="Times New Roman;Times;serif" w:hAnsi="Times New Roman;Times;serif"/>
          <w:b/>
          <w:sz w:val="20"/>
        </w:rPr>
        <w:t>P</w:t>
      </w:r>
      <w:r>
        <w:rPr>
          <w:rFonts w:ascii="Times New Roman;Times;serif" w:hAnsi="Times New Roman;Times;serif"/>
          <w:sz w:val="20"/>
        </w:rPr>
        <w:t xml:space="preserve">olicy, </w:t>
      </w:r>
      <w:r>
        <w:rPr>
          <w:rFonts w:ascii="Times New Roman;Times;serif" w:hAnsi="Times New Roman;Times;serif"/>
          <w:b/>
          <w:sz w:val="20"/>
        </w:rPr>
        <w:t>E</w:t>
      </w:r>
      <w:r>
        <w:rPr>
          <w:rFonts w:ascii="Times New Roman;Times;serif" w:hAnsi="Times New Roman;Times;serif"/>
          <w:sz w:val="20"/>
        </w:rPr>
        <w:t xml:space="preserve">lectricity cost, </w:t>
      </w:r>
      <w:r>
        <w:rPr>
          <w:rFonts w:ascii="Times New Roman;Times;serif" w:hAnsi="Times New Roman;Times;serif"/>
          <w:b/>
          <w:sz w:val="20"/>
        </w:rPr>
        <w:t>R</w:t>
      </w:r>
      <w:r>
        <w:rPr>
          <w:rFonts w:ascii="Times New Roman;Times;serif" w:hAnsi="Times New Roman;Times;serif"/>
          <w:sz w:val="20"/>
        </w:rPr>
        <w:t xml:space="preserve">esources and connections, and </w:t>
      </w:r>
      <w:r>
        <w:rPr>
          <w:rFonts w:ascii="Times New Roman;Times;serif" w:hAnsi="Times New Roman;Times;serif"/>
          <w:b/>
          <w:sz w:val="20"/>
        </w:rPr>
        <w:t>T</w:t>
      </w:r>
      <w:r>
        <w:rPr>
          <w:rFonts w:ascii="Times New Roman;Times;serif" w:hAnsi="Times New Roman;Times;serif"/>
          <w:sz w:val="20"/>
        </w:rPr>
        <w:t>echnical feasibility. We believe we can continue to apply this systematic approach, our insights and rich execution experience to global mining datacenter construction in the future, and hence achieve advantages in electricity capacity and electricity costs among our competitors.</w:t>
      </w:r>
    </w:p>
    <w:p>
      <w:pPr>
        <w:pStyle w:val="TextBody"/>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Visionary management team with a proven track record of innovation and execution</w:t>
      </w:r>
    </w:p>
    <w:p>
      <w:pPr>
        <w:pStyle w:val="TextBody"/>
        <w:spacing w:before="0" w:after="180"/>
        <w:ind w:left="0" w:right="0" w:firstLine="360"/>
        <w:jc w:val="both"/>
        <w:rPr>
          <w:rFonts w:ascii="Times New Roman;Times;serif" w:hAnsi="Times New Roman;Times;serif"/>
          <w:sz w:val="20"/>
        </w:rPr>
      </w:pPr>
      <w:r>
        <w:rPr>
          <w:rFonts w:ascii="Times New Roman;Times;serif" w:hAnsi="Times New Roman;Times;serif"/>
          <w:sz w:val="20"/>
        </w:rPr>
        <w:t>Our success is driven by a passionate, visionary, tech-savvy and entrepreneurial management team with a proven execution track record. This management team is led by our founder, Mr. Jihan Wu, a pioneer and leading figure in the cryptocurrency industry. Mr. Wu is viewed as an early advocate of cryptocurrency who introduced the Bitcoin Whitepaper into the Sinophone world. Our management team has extensive experience in the cryptocurrency industry, encompassing research and development, mining and sales of mining machines, and many of them are pioneers in mining datacenters construction and operation.</w:t>
      </w:r>
    </w:p>
    <w:p>
      <w:pPr>
        <w:pStyle w:val="TextBody"/>
        <w:spacing w:before="0" w:after="180"/>
        <w:ind w:left="0" w:right="0" w:hanging="0"/>
        <w:jc w:val="both"/>
        <w:rPr>
          <w:rFonts w:ascii="Times New Roman;Times;serif" w:hAnsi="Times New Roman;Times;serif"/>
          <w:b/>
          <w:sz w:val="20"/>
        </w:rPr>
      </w:pPr>
      <w:r>
        <w:rPr>
          <w:rFonts w:ascii="Times New Roman;Times;serif" w:hAnsi="Times New Roman;Times;serif"/>
          <w:b/>
          <w:sz w:val="20"/>
        </w:rPr>
        <w:t>Our Business Lines and Software Infrastructure</w:t>
      </w:r>
    </w:p>
    <w:p>
      <w:pPr>
        <w:pStyle w:val="TextBody"/>
        <w:spacing w:before="0" w:after="180"/>
        <w:ind w:left="0" w:right="0" w:firstLine="360"/>
        <w:jc w:val="both"/>
        <w:rPr>
          <w:rFonts w:ascii="Times New Roman;Times;serif" w:hAnsi="Times New Roman;Times;serif"/>
          <w:sz w:val="20"/>
        </w:rPr>
      </w:pPr>
      <w:r>
        <w:rPr>
          <w:rFonts w:ascii="Times New Roman;Times;serif" w:hAnsi="Times New Roman;Times;serif"/>
          <w:sz w:val="20"/>
        </w:rPr>
        <w:t xml:space="preserve">To date, we primarily operate three business lines — “proprietary mining,” “hash rate sharing” and “hosting,” all of which are supported by </w:t>
      </w:r>
      <w:r>
        <w:rPr>
          <w:rFonts w:ascii="Times New Roman;Times;serif" w:hAnsi="Times New Roman;Times;serif"/>
          <w:i/>
          <w:sz w:val="20"/>
        </w:rPr>
        <w:t>Minerplus</w:t>
      </w:r>
      <w:r>
        <w:rPr>
          <w:rFonts w:ascii="Times New Roman;Times;serif" w:hAnsi="Times New Roman;Times;serif"/>
          <w:sz w:val="20"/>
        </w:rPr>
        <w:t>, our self-developed integrated intelligent software platform, to enhance operational efficiency.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Proprietary mining</w:t>
      </w:r>
    </w:p>
    <w:p>
      <w:pPr>
        <w:pStyle w:val="TextBody"/>
        <w:spacing w:before="0" w:after="180"/>
        <w:ind w:left="0" w:right="0" w:firstLine="360"/>
        <w:jc w:val="both"/>
        <w:rPr>
          <w:rFonts w:ascii="Times New Roman;Times;serif" w:hAnsi="Times New Roman;Times;serif"/>
          <w:sz w:val="20"/>
        </w:rPr>
      </w:pPr>
      <w:r>
        <w:rPr>
          <w:rFonts w:ascii="Times New Roman;Times;serif" w:hAnsi="Times New Roman;Times;serif"/>
          <w:sz w:val="20"/>
        </w:rPr>
        <w:t xml:space="preserve">We mine cryptocurrencies, primarily Bitcoins, for our own account. Proprietary mining allows us to capture the high appreciation potential of cryptocurrency to support our future expansion and operation. For the years ended December 31, 2020, 2021 and 2022, respectively, we generated US$88.5 million,  US$191.7 million and US$62.4 million in revenue from proprietary mining. Historically, around 50% to 60% of our proprietary hash rate was utilized to support our proprietary mining, with the rest available for sale to customers through </w:t>
      </w:r>
      <w:r>
        <w:rPr>
          <w:rFonts w:ascii="Times New Roman;Times;serif" w:hAnsi="Times New Roman;Times;serif"/>
          <w:i/>
          <w:sz w:val="20"/>
        </w:rPr>
        <w:t>Cloud Hash Rate</w:t>
      </w:r>
      <w:r>
        <w:rPr>
          <w:rFonts w:ascii="Times New Roman;Times;serif" w:hAnsi="Times New Roman;Times;serif"/>
          <w:sz w:val="20"/>
        </w:rPr>
        <w:t xml:space="preserve">. However, we retain the flexibility to allocate our proprietary hash rate to either proprietary mining or </w:t>
      </w:r>
      <w:r>
        <w:rPr>
          <w:rFonts w:ascii="Times New Roman;Times;serif" w:hAnsi="Times New Roman;Times;serif"/>
          <w:i/>
          <w:sz w:val="20"/>
        </w:rPr>
        <w:t>Cloud Hash Rate</w:t>
      </w:r>
      <w:r>
        <w:rPr>
          <w:rFonts w:ascii="Times New Roman;Times;serif" w:hAnsi="Times New Roman;Times;serif"/>
          <w:sz w:val="20"/>
        </w:rPr>
        <w:t>, primarily based on our view of the Bitcoin market trends.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Hash rate sharing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offer two types of hash rate sharing solutions, </w:t>
      </w:r>
      <w:r>
        <w:rPr>
          <w:rFonts w:ascii="Times New Roman;Times;serif" w:hAnsi="Times New Roman;Times;serif"/>
          <w:i/>
          <w:sz w:val="20"/>
        </w:rPr>
        <w:t xml:space="preserve">Cloud Hash Rate </w:t>
      </w:r>
      <w:r>
        <w:rPr>
          <w:rFonts w:ascii="Times New Roman;Times;serif" w:hAnsi="Times New Roman;Times;serif"/>
          <w:sz w:val="20"/>
        </w:rPr>
        <w:t xml:space="preserve">and </w:t>
      </w:r>
      <w:r>
        <w:rPr>
          <w:rFonts w:ascii="Times New Roman;Times;serif" w:hAnsi="Times New Roman;Times;serif"/>
          <w:i/>
          <w:sz w:val="20"/>
        </w:rPr>
        <w:t>Hash Rate Marketplace</w:t>
      </w:r>
      <w:r>
        <w:rPr>
          <w:rFonts w:ascii="Times New Roman;Times;serif" w:hAnsi="Times New Roman;Times;serif"/>
          <w:sz w:val="20"/>
        </w:rPr>
        <w:t>, to support cryptocurrency mining activities globally with convenient, transparent and reliable hash rate.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color w:val="231F20"/>
                <w:sz w:val="20"/>
              </w:rPr>
              <w:t xml:space="preserve">Cloud Hash Rate. </w:t>
            </w:r>
            <w:r>
              <w:rPr>
                <w:rFonts w:ascii="Times New Roman;Times;serif" w:hAnsi="Times New Roman;Times;serif"/>
                <w:b w:val="false"/>
                <w:i w:val="false"/>
                <w:caps w:val="false"/>
                <w:smallCaps w:val="false"/>
                <w:color w:val="231F20"/>
                <w:sz w:val="20"/>
              </w:rPr>
              <w:t xml:space="preserve">Through </w:t>
            </w:r>
            <w:r>
              <w:rPr>
                <w:rFonts w:ascii="Times New Roman;Times;serif" w:hAnsi="Times New Roman;Times;serif"/>
                <w:b w:val="false"/>
                <w:i/>
                <w:color w:val="231F20"/>
                <w:sz w:val="20"/>
              </w:rPr>
              <w:t>Cloud Hash Rate</w:t>
            </w:r>
            <w:r>
              <w:rPr>
                <w:rFonts w:ascii="Times New Roman;Times;serif" w:hAnsi="Times New Roman;Times;serif"/>
                <w:b w:val="false"/>
                <w:i w:val="false"/>
                <w:caps w:val="false"/>
                <w:smallCaps w:val="false"/>
                <w:color w:val="231F20"/>
                <w:sz w:val="20"/>
              </w:rPr>
              <w:t xml:space="preserve">, customers enter into hash rate contracts with us to subscribe to the hash rate derived from our proprietary mining machines, saving themselves from purchasing, installing or hosting mining machines. </w:t>
            </w:r>
            <w:r>
              <w:rPr>
                <w:rFonts w:ascii="Times New Roman;Times;serif" w:hAnsi="Times New Roman;Times;serif"/>
                <w:b w:val="false"/>
                <w:i/>
                <w:color w:val="231F20"/>
                <w:sz w:val="20"/>
              </w:rPr>
              <w:t xml:space="preserve">Cloud Hash Rate </w:t>
            </w:r>
            <w:r>
              <w:rPr>
                <w:rFonts w:ascii="Times New Roman;Times;serif" w:hAnsi="Times New Roman;Times;serif"/>
                <w:b w:val="false"/>
                <w:i w:val="false"/>
                <w:caps w:val="false"/>
                <w:smallCaps w:val="false"/>
                <w:color w:val="231F20"/>
                <w:sz w:val="20"/>
              </w:rPr>
              <w:t xml:space="preserve">features authentic and transparent hash rate products as users can track the hash rate output on their chosen third-party mining pool, easily ascertain that they receive the right value and receive payments directly from mining pools. With our hash rate slicing and hash rate scheduling technologies, we are able to maintain a less than 1% fluctuation for 98% of our hash rate contracts as of March 31, 2023, and provide our customers 100% continuous online computing power for series of cryptocurrencies, including Bitcoin, Filecoin, Litecoin, Nervos CKB, Zcash, etc., subject to stable electricity supply. We offer our customers various hash rate subscription plans, primarily under (i) “classic mode” and (ii) “accelerator mode”, which enables customers to shorten investment costs recovery cycle. After a user subscribes to a cloud hash rate plan, mining pool operators connect the cloud hash rate generated from our mining machines to blockchain network for a period specified in the cloud hash rate plan subscribed to and cryptocurrency rewards are delivered directly to the crypto wallet of the </w:t>
            </w:r>
            <w:r>
              <w:rPr>
                <w:rFonts w:ascii="Times New Roman;Times;serif" w:hAnsi="Times New Roman;Times;serif"/>
                <w:b w:val="false"/>
                <w:i/>
                <w:color w:val="231F20"/>
                <w:sz w:val="20"/>
              </w:rPr>
              <w:t xml:space="preserve">Cloud Hash Rate </w:t>
            </w:r>
            <w:r>
              <w:rPr>
                <w:rFonts w:ascii="Times New Roman;Times;serif" w:hAnsi="Times New Roman;Times;serif"/>
                <w:b w:val="false"/>
                <w:i w:val="false"/>
                <w:caps w:val="false"/>
                <w:smallCaps w:val="false"/>
                <w:color w:val="231F20"/>
                <w:sz w:val="20"/>
              </w:rPr>
              <w:t xml:space="preserve">customer. For plans under “classic mode”, we generate revenue from fees paid to subscribe the hash rate as well as electricity, which maintains the mining machines that produce the subscribed hash rate. For hash rate subscription plans under “accelerator mode”, while customers enjoy lower hash rate subscription fees compared to “classic mode”, on top of the aforementioned hash rate and electricity subscription fees, we are also entitled to sharing part of the mining rewards net of the electricity cost the customer paid for once that customer’s investment cost is recovered, which is defined as the cumulative mining reward received from the mining pool equals the amount of hash rate subscription fees paid upfront and the electricity fee paid and used to date. This unique model of selling cloud hash rate allows us to smooth the impact of Bitcoin price volatility as our income from hash rate sales are less directly related to cryptocurrency price compared to proprietary mining. When Bitcoin price appreciates, we can capture part of the benefits as the demand of hash rate will be driven up; when Bitcoin price depreciates, we are still able to recover costs or generate revenue from hash rate sales. We use standard agreement with our customer for </w:t>
            </w:r>
            <w:r>
              <w:rPr>
                <w:rFonts w:ascii="Times New Roman;Times;serif" w:hAnsi="Times New Roman;Times;serif"/>
                <w:b w:val="false"/>
                <w:i/>
                <w:color w:val="231F20"/>
                <w:sz w:val="20"/>
              </w:rPr>
              <w:t>Cloud Hash Rate</w:t>
            </w:r>
            <w:r>
              <w:rPr>
                <w:rFonts w:ascii="Times New Roman;Times;serif" w:hAnsi="Times New Roman;Times;serif"/>
                <w:b w:val="false"/>
                <w:i w:val="false"/>
                <w:caps w:val="false"/>
                <w:smallCaps w:val="false"/>
                <w:color w:val="231F20"/>
                <w:sz w:val="20"/>
              </w:rPr>
              <w:t xml:space="preserve">. We generated revenue of US$78.3 million, US$124.2 million and US$121.3 million for the year ended December 31, 2020, 2021 and 2022, respectively, from </w:t>
            </w:r>
            <w:r>
              <w:rPr>
                <w:rFonts w:ascii="Times New Roman;Times;serif" w:hAnsi="Times New Roman;Times;serif"/>
                <w:b w:val="false"/>
                <w:i/>
                <w:color w:val="231F20"/>
                <w:sz w:val="20"/>
              </w:rPr>
              <w:t>Cloud Hash Rate</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color w:val="231F20"/>
                <w:sz w:val="20"/>
              </w:rPr>
              <w:t>Hash Rate Marketplace</w:t>
            </w:r>
            <w:r>
              <w:rPr>
                <w:rFonts w:ascii="Times New Roman;Times;serif" w:hAnsi="Times New Roman;Times;serif"/>
                <w:b w:val="false"/>
                <w:i w:val="false"/>
                <w:caps w:val="false"/>
                <w:smallCaps w:val="false"/>
                <w:color w:val="231F20"/>
                <w:sz w:val="20"/>
              </w:rPr>
              <w:t xml:space="preserve">. We connect supply of hash rate from mining machines owned by third parties, such as miners or mining datacenter owners, with our user base with hash rate demands, allowing such hash rate suppliers to access our large base of high-quality customers. With </w:t>
            </w:r>
            <w:r>
              <w:rPr>
                <w:rFonts w:ascii="Times New Roman;Times;serif" w:hAnsi="Times New Roman;Times;serif"/>
                <w:b w:val="false"/>
                <w:i/>
                <w:color w:val="231F20"/>
                <w:sz w:val="20"/>
              </w:rPr>
              <w:t>Hash Rate Marketplace</w:t>
            </w:r>
            <w:r>
              <w:rPr>
                <w:rFonts w:ascii="Times New Roman;Times;serif" w:hAnsi="Times New Roman;Times;serif"/>
                <w:b w:val="false"/>
                <w:i w:val="false"/>
                <w:caps w:val="false"/>
                <w:smallCaps w:val="false"/>
                <w:color w:val="231F20"/>
                <w:sz w:val="20"/>
              </w:rPr>
              <w:t xml:space="preserve">, we offer a marketplace that is able to utilize excessive hash rate in the network and expand ways of monetization for third-party hash rate suppliers, accelerating their cash payback to support future expansion. For transactions completed on </w:t>
            </w:r>
            <w:r>
              <w:rPr>
                <w:rFonts w:ascii="Times New Roman;Times;serif" w:hAnsi="Times New Roman;Times;serif"/>
                <w:b w:val="false"/>
                <w:i/>
                <w:color w:val="231F20"/>
                <w:sz w:val="20"/>
              </w:rPr>
              <w:t>Hash Rate Marketplace</w:t>
            </w:r>
            <w:r>
              <w:rPr>
                <w:rFonts w:ascii="Times New Roman;Times;serif" w:hAnsi="Times New Roman;Times;serif"/>
                <w:b w:val="false"/>
                <w:i w:val="false"/>
                <w:caps w:val="false"/>
                <w:smallCaps w:val="false"/>
                <w:color w:val="231F20"/>
                <w:sz w:val="20"/>
              </w:rPr>
              <w:t xml:space="preserve">, the third-party hash rate suppliers will be responsible for providing hash rate and post-sale services, pursuant to the negotiated terms between these third-party hash rate suppliers and customers, with which we have no involvement and we generate revenue by charging service fees. Revenue generated from </w:t>
            </w:r>
            <w:r>
              <w:rPr>
                <w:rFonts w:ascii="Times New Roman;Times;serif" w:hAnsi="Times New Roman;Times;serif"/>
                <w:b w:val="false"/>
                <w:i/>
                <w:color w:val="231F20"/>
                <w:sz w:val="20"/>
              </w:rPr>
              <w:t xml:space="preserve">Hash Rate Marketplace </w:t>
            </w:r>
            <w:r>
              <w:rPr>
                <w:rFonts w:ascii="Times New Roman;Times;serif" w:hAnsi="Times New Roman;Times;serif"/>
                <w:b w:val="false"/>
                <w:i w:val="false"/>
                <w:caps w:val="false"/>
                <w:smallCaps w:val="false"/>
                <w:color w:val="231F20"/>
                <w:sz w:val="20"/>
              </w:rPr>
              <w:t>was immaterial prior to December 31,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Hosting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offer three types of hosting services, </w:t>
      </w:r>
      <w:r>
        <w:rPr>
          <w:rFonts w:ascii="Times New Roman;Times;serif" w:hAnsi="Times New Roman;Times;serif"/>
          <w:i/>
          <w:sz w:val="20"/>
        </w:rPr>
        <w:t>Cloud Hosting</w:t>
      </w:r>
      <w:r>
        <w:rPr>
          <w:rFonts w:ascii="Times New Roman;Times;serif" w:hAnsi="Times New Roman;Times;serif"/>
          <w:sz w:val="20"/>
        </w:rPr>
        <w:t xml:space="preserve">, </w:t>
      </w:r>
      <w:r>
        <w:rPr>
          <w:rFonts w:ascii="Times New Roman;Times;serif" w:hAnsi="Times New Roman;Times;serif"/>
          <w:i/>
          <w:sz w:val="20"/>
        </w:rPr>
        <w:t xml:space="preserve">General Hosting </w:t>
      </w:r>
      <w:r>
        <w:rPr>
          <w:rFonts w:ascii="Times New Roman;Times;serif" w:hAnsi="Times New Roman;Times;serif"/>
          <w:sz w:val="20"/>
        </w:rPr>
        <w:t xml:space="preserve">and </w:t>
      </w:r>
      <w:r>
        <w:rPr>
          <w:rFonts w:ascii="Times New Roman;Times;serif" w:hAnsi="Times New Roman;Times;serif"/>
          <w:i/>
          <w:sz w:val="20"/>
        </w:rPr>
        <w:t>Membership Hosting</w:t>
      </w:r>
      <w:r>
        <w:rPr>
          <w:rFonts w:ascii="Times New Roman;Times;serif" w:hAnsi="Times New Roman;Times;serif"/>
          <w:sz w:val="20"/>
        </w:rPr>
        <w:t>, to meet customers’ diverse demands for professional hosting solutions and lower the prohibitive upfront investment costs associated with mining datacenter construction, deployment and operation.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color w:val="231F20"/>
                <w:sz w:val="20"/>
              </w:rPr>
              <w:t>Cloud Hosting</w:t>
            </w:r>
            <w:r>
              <w:rPr>
                <w:rFonts w:ascii="Times New Roman;Times;serif" w:hAnsi="Times New Roman;Times;serif"/>
                <w:b w:val="false"/>
                <w:i w:val="false"/>
                <w:caps w:val="false"/>
                <w:smallCaps w:val="false"/>
                <w:color w:val="231F20"/>
                <w:sz w:val="20"/>
              </w:rPr>
              <w:t xml:space="preserve">. We provide retail miner customers with one-stop mining machine hosting solutions, enabling them to gain access to stable supply of computing power from specified mining machines in a capital-light manner. Through </w:t>
            </w:r>
            <w:r>
              <w:rPr>
                <w:rFonts w:ascii="Times New Roman;Times;serif" w:hAnsi="Times New Roman;Times;serif"/>
                <w:b w:val="false"/>
                <w:i/>
                <w:color w:val="231F20"/>
                <w:sz w:val="20"/>
              </w:rPr>
              <w:t>Cloud Hosting</w:t>
            </w:r>
            <w:r>
              <w:rPr>
                <w:rFonts w:ascii="Times New Roman;Times;serif" w:hAnsi="Times New Roman;Times;serif"/>
                <w:b w:val="false"/>
                <w:i w:val="false"/>
                <w:caps w:val="false"/>
                <w:smallCaps w:val="false"/>
                <w:color w:val="231F20"/>
                <w:sz w:val="20"/>
              </w:rPr>
              <w:t xml:space="preserve">, users participate in a customer group, pay an upfront fee for the computing power produced by the specified mining machines, and subscribe to the hosting service for the same mining machines. As such, customers may enjoy the computing power derived from specified mining machines over the life of such mining machines to generate cryptocurrency rewards. Traditionally, a miner has to purchase and physically possess a mining machine, deploy and operate it in a mining datacenter in order to gain access to all the computing power generated from that specified mining machine. </w:t>
            </w:r>
            <w:r>
              <w:rPr>
                <w:rFonts w:ascii="Times New Roman;Times;serif" w:hAnsi="Times New Roman;Times;serif"/>
                <w:b w:val="false"/>
                <w:i/>
                <w:color w:val="231F20"/>
                <w:sz w:val="20"/>
              </w:rPr>
              <w:t xml:space="preserve">Cloud Hosting </w:t>
            </w:r>
            <w:r>
              <w:rPr>
                <w:rFonts w:ascii="Times New Roman;Times;serif" w:hAnsi="Times New Roman;Times;serif"/>
                <w:b w:val="false"/>
                <w:i w:val="false"/>
                <w:caps w:val="false"/>
                <w:smallCaps w:val="false"/>
                <w:color w:val="231F20"/>
                <w:sz w:val="20"/>
              </w:rPr>
              <w:t xml:space="preserve">provides an innovative alternative by providing hosting service for the specified mining machines that produce computing power for the </w:t>
            </w:r>
            <w:r>
              <w:rPr>
                <w:rFonts w:ascii="Times New Roman;Times;serif" w:hAnsi="Times New Roman;Times;serif"/>
                <w:b w:val="false"/>
                <w:i/>
                <w:color w:val="231F20"/>
                <w:sz w:val="20"/>
              </w:rPr>
              <w:t xml:space="preserve">Cloud Hosting </w:t>
            </w:r>
            <w:r>
              <w:rPr>
                <w:rFonts w:ascii="Times New Roman;Times;serif" w:hAnsi="Times New Roman;Times;serif"/>
                <w:b w:val="false"/>
                <w:i w:val="false"/>
                <w:caps w:val="false"/>
                <w:smallCaps w:val="false"/>
                <w:color w:val="231F20"/>
                <w:sz w:val="20"/>
              </w:rPr>
              <w:t xml:space="preserve">customers, saving the customers the need to pick up the mining machine, construct one’s own mining datacenter, and operate and deploy the mining machine. Specifically, we are responsible for the operation and maintenance of mining datacenter that hosts the mining machines, as well as mining machine operation, maintenance and repair. As such, we significantly lower the upfront investment and expertise threshold for retail miners, providing them with the same opportunity of cryptocurrency returns as major and sophisticated miners. We also provide complete set of cloud hosting technical solutions and resources to ensure operational efficiency. Our first-of-its-kind “group-buying” model allows retail miners to purchase the computing service from and maintenance service for as little as one mining machine, further lessening the upfront investment burden. Similar to the </w:t>
            </w:r>
            <w:r>
              <w:rPr>
                <w:rFonts w:ascii="Times New Roman;Times;serif" w:hAnsi="Times New Roman;Times;serif"/>
                <w:b w:val="false"/>
                <w:i/>
                <w:color w:val="231F20"/>
                <w:sz w:val="20"/>
              </w:rPr>
              <w:t xml:space="preserve">Cloud Hash Rate </w:t>
            </w:r>
            <w:r>
              <w:rPr>
                <w:caps w:val="false"/>
                <w:smallCaps w:val="false"/>
                <w:color w:val="231F20"/>
              </w:rPr>
              <w:t>“</w:t>
            </w:r>
            <w:r>
              <w:rPr>
                <w:rFonts w:ascii="Times New Roman;Times;serif" w:hAnsi="Times New Roman;Times;serif"/>
                <w:b w:val="false"/>
                <w:i w:val="false"/>
                <w:caps w:val="false"/>
                <w:smallCaps w:val="false"/>
                <w:color w:val="231F20"/>
                <w:sz w:val="20"/>
              </w:rPr>
              <w:t xml:space="preserve">accelerator mode” subscription plans, in 2021, we launched the “accelerated payback mode” for </w:t>
            </w:r>
            <w:r>
              <w:rPr>
                <w:rFonts w:ascii="Times New Roman;Times;serif" w:hAnsi="Times New Roman;Times;serif"/>
                <w:b w:val="false"/>
                <w:i/>
                <w:color w:val="231F20"/>
                <w:sz w:val="20"/>
              </w:rPr>
              <w:t>Cloud Hosting</w:t>
            </w:r>
            <w:r>
              <w:rPr>
                <w:rFonts w:ascii="Times New Roman;Times;serif" w:hAnsi="Times New Roman;Times;serif"/>
                <w:b w:val="false"/>
                <w:i w:val="false"/>
                <w:caps w:val="false"/>
                <w:smallCaps w:val="false"/>
                <w:color w:val="231F20"/>
                <w:sz w:val="20"/>
              </w:rPr>
              <w:t xml:space="preserve">, where customers can enjoy a favorable rate for the upfront fee compared to “classic mode” (i.e., the traditional arrangement). Under the standard agreements with our customers for </w:t>
            </w:r>
            <w:r>
              <w:rPr>
                <w:rFonts w:ascii="Times New Roman;Times;serif" w:hAnsi="Times New Roman;Times;serif"/>
                <w:b w:val="false"/>
                <w:i/>
                <w:color w:val="231F20"/>
                <w:sz w:val="20"/>
              </w:rPr>
              <w:t>Cloud Hosting</w:t>
            </w:r>
            <w:r>
              <w:rPr>
                <w:rFonts w:ascii="Times New Roman;Times;serif" w:hAnsi="Times New Roman;Times;serif"/>
                <w:b w:val="false"/>
                <w:i w:val="false"/>
                <w:caps w:val="false"/>
                <w:smallCaps w:val="false"/>
                <w:color w:val="231F20"/>
                <w:sz w:val="20"/>
              </w:rPr>
              <w:t xml:space="preserve">, we charge customers an upfront fee so they can secure the procurement of computing power from the specified mining machines. We also charge a maintenance fee for our electricity supply, daily maintenance and repair care. We are entitled to a portion of the mining profit of an “accelerated payback mode” customer after the customer recovers the investment cost, which is defined as the mining reward earned from the mining pool equals the upfront fee paid and the maintenance fee and other fees incurred to date. We generated revenue of  US$2.9  million,  US$7.6  million  and  US$12.7 million for the year ended December 31, 2020, 2021 and 2022, respectively, from </w:t>
            </w:r>
            <w:r>
              <w:rPr>
                <w:rFonts w:ascii="Times New Roman;Times;serif" w:hAnsi="Times New Roman;Times;serif"/>
                <w:b w:val="false"/>
                <w:i/>
                <w:color w:val="231F20"/>
                <w:sz w:val="20"/>
              </w:rPr>
              <w:t>Cloud Hosting</w:t>
            </w:r>
            <w:r>
              <w:rPr>
                <w:rFonts w:ascii="Times New Roman;Times;serif" w:hAnsi="Times New Roman;Times;serif"/>
                <w:b w:val="false"/>
                <w:i w:val="false"/>
                <w:caps w:val="false"/>
                <w:smallCaps w:val="false"/>
                <w:color w:val="231F20"/>
                <w:sz w:val="20"/>
              </w:rPr>
              <w:t xml:space="preserve">. We did not generate any revenue from mining profit sharing from plans under </w:t>
            </w:r>
            <w:r>
              <w:rPr>
                <w:rFonts w:ascii="Times New Roman;Times;serif" w:hAnsi="Times New Roman;Times;serif"/>
                <w:b w:val="false"/>
                <w:i/>
                <w:color w:val="231F20"/>
                <w:sz w:val="20"/>
              </w:rPr>
              <w:t>Cloud Hosting</w:t>
            </w:r>
            <w:r>
              <w:rPr>
                <w:caps w:val="false"/>
                <w:smallCaps w:val="false"/>
                <w:color w:val="231F20"/>
              </w:rPr>
              <w:t>’</w:t>
            </w:r>
            <w:r>
              <w:rPr>
                <w:rFonts w:ascii="Times New Roman;Times;serif" w:hAnsi="Times New Roman;Times;serif"/>
                <w:b w:val="false"/>
                <w:i w:val="false"/>
                <w:caps w:val="false"/>
                <w:smallCaps w:val="false"/>
                <w:color w:val="231F20"/>
                <w:sz w:val="20"/>
              </w:rPr>
              <w:t>s “accelerated payback mode” for the years ended December 31, 2021 and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color w:val="231F20"/>
                <w:sz w:val="20"/>
              </w:rPr>
              <w:t xml:space="preserve">General Hosting. </w:t>
            </w:r>
            <w:r>
              <w:rPr>
                <w:rFonts w:ascii="Times New Roman;Times;serif" w:hAnsi="Times New Roman;Times;serif"/>
                <w:b w:val="false"/>
                <w:i w:val="false"/>
                <w:caps w:val="false"/>
                <w:smallCaps w:val="false"/>
                <w:color w:val="231F20"/>
                <w:sz w:val="20"/>
              </w:rPr>
              <w:t xml:space="preserve">We offer hosting solutions to professional miner customers who send their mining machines to our mining datacenters for hosting. Specifically, we provide server room, professional support from technical and managerial personnel, supporting power, network and security monitoring facilities, among others, and carry out routine maintenance, system configurations, troubleshooting and daily reporting to ensure a smooth operation of the hosted mining machines. At the customers’ option, we also provide assistance for deployment, installation and removal of hosted mining machines and repairment of mining machines. Under the standard agreements with </w:t>
            </w:r>
            <w:r>
              <w:rPr>
                <w:rFonts w:ascii="Times New Roman;Times;serif" w:hAnsi="Times New Roman;Times;serif"/>
                <w:b w:val="false"/>
                <w:i/>
                <w:color w:val="231F20"/>
                <w:sz w:val="20"/>
              </w:rPr>
              <w:t xml:space="preserve">General Hosting </w:t>
            </w:r>
            <w:r>
              <w:rPr>
                <w:rFonts w:ascii="Times New Roman;Times;serif" w:hAnsi="Times New Roman;Times;serif"/>
                <w:b w:val="false"/>
                <w:i w:val="false"/>
                <w:caps w:val="false"/>
                <w:smallCaps w:val="false"/>
                <w:color w:val="231F20"/>
                <w:sz w:val="20"/>
              </w:rPr>
              <w:t xml:space="preserve">customers, we charge monthly service fees, which include costs of operating and maintaining the mining machines, costs of electricity and other costs mainly related to mining machine deployment and repair. We generated no revenue prior to December 31, 2020 and revenue of US$18.3 million and US$99.3 million for the year ended December 31, 2021 and 2022, respectively, from </w:t>
            </w:r>
            <w:r>
              <w:rPr>
                <w:rFonts w:ascii="Times New Roman;Times;serif" w:hAnsi="Times New Roman;Times;serif"/>
                <w:b w:val="false"/>
                <w:i/>
                <w:color w:val="231F20"/>
                <w:sz w:val="20"/>
              </w:rPr>
              <w:t>General Hosting</w:t>
            </w:r>
            <w:r>
              <w:rPr>
                <w:rFonts w:ascii="Times New Roman;Times;serif" w:hAnsi="Times New Roman;Times;serif"/>
                <w:b w:val="false"/>
                <w:i w:val="false"/>
                <w:caps w:val="false"/>
                <w:smallCaps w:val="false"/>
                <w:color w:val="231F20"/>
                <w:sz w:val="20"/>
              </w:rPr>
              <w:t>.</w:t>
            </w:r>
          </w:p>
        </w:tc>
      </w:tr>
    </w:tbl>
    <w:p>
      <w:pPr>
        <w:pStyle w:val="TextBody"/>
        <w:spacing w:before="0" w:after="0"/>
        <w:ind w:left="0" w:right="0" w:hanging="0"/>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color w:val="231F20"/>
                <w:sz w:val="20"/>
              </w:rPr>
              <w:t xml:space="preserve">Membership Hosting. </w:t>
            </w:r>
            <w:r>
              <w:rPr>
                <w:rFonts w:ascii="Times New Roman;Times;serif" w:hAnsi="Times New Roman;Times;serif"/>
                <w:b w:val="false"/>
                <w:i w:val="false"/>
                <w:caps w:val="false"/>
                <w:smallCaps w:val="false"/>
                <w:color w:val="231F20"/>
                <w:sz w:val="20"/>
              </w:rPr>
              <w:t xml:space="preserve">We offer a membership program for large-scale miner customers who seek stable, long-term supply of hosting capacity and send their mining machines to our mining datacenters for hosting purpose. Unlike </w:t>
            </w:r>
            <w:r>
              <w:rPr>
                <w:rFonts w:ascii="Times New Roman;Times;serif" w:hAnsi="Times New Roman;Times;serif"/>
                <w:b w:val="false"/>
                <w:i/>
                <w:color w:val="231F20"/>
                <w:sz w:val="20"/>
              </w:rPr>
              <w:t xml:space="preserve">General Hosting </w:t>
            </w:r>
            <w:r>
              <w:rPr>
                <w:rFonts w:ascii="Times New Roman;Times;serif" w:hAnsi="Times New Roman;Times;serif"/>
                <w:b w:val="false"/>
                <w:i w:val="false"/>
                <w:caps w:val="false"/>
                <w:smallCaps w:val="false"/>
                <w:color w:val="231F20"/>
                <w:sz w:val="20"/>
              </w:rPr>
              <w:t xml:space="preserve">where the customer’s access to mining datacenter capacity is subject to the availability of such capacity at the time the request was raised, a customer under </w:t>
            </w:r>
            <w:r>
              <w:rPr>
                <w:rFonts w:ascii="Times New Roman;Times;serif" w:hAnsi="Times New Roman;Times;serif"/>
                <w:b w:val="false"/>
                <w:i/>
                <w:color w:val="231F20"/>
                <w:sz w:val="20"/>
              </w:rPr>
              <w:t xml:space="preserve">Membership Hosting </w:t>
            </w:r>
            <w:r>
              <w:rPr>
                <w:rFonts w:ascii="Times New Roman;Times;serif" w:hAnsi="Times New Roman;Times;serif"/>
                <w:b w:val="false"/>
                <w:i w:val="false"/>
                <w:caps w:val="false"/>
                <w:smallCaps w:val="false"/>
                <w:color w:val="231F20"/>
                <w:sz w:val="20"/>
              </w:rPr>
              <w:t xml:space="preserve">will be designated of certain capacity (i.e., designated capacity) exclusive for use by such customer, by signing a standard membership program agreement. We also provide other program benefits, if available, to customers under </w:t>
            </w:r>
            <w:r>
              <w:rPr>
                <w:rFonts w:ascii="Times New Roman;Times;serif" w:hAnsi="Times New Roman;Times;serif"/>
                <w:b w:val="false"/>
                <w:i/>
                <w:color w:val="231F20"/>
                <w:sz w:val="20"/>
              </w:rPr>
              <w:t>Membership Hosting</w:t>
            </w:r>
            <w:r>
              <w:rPr>
                <w:rFonts w:ascii="Times New Roman;Times;serif" w:hAnsi="Times New Roman;Times;serif"/>
                <w:b w:val="false"/>
                <w:i w:val="false"/>
                <w:caps w:val="false"/>
                <w:smallCaps w:val="false"/>
                <w:color w:val="231F20"/>
                <w:sz w:val="20"/>
              </w:rPr>
              <w:t xml:space="preserve">, including, among other things, (i) early, priority and exclusive access to the newly available mining datacenter capacity that is sufficient for large-scale miners, upon a new mining datacenter becomes available and (ii) more favorable pricing terms for our services, such as mining machine management services, than the prevailing price in the local market. We charge an upfront fee for such program benefits. We also provide management services, such as infrastructure, custody, and utility, for the mining machines of a </w:t>
            </w:r>
            <w:r>
              <w:rPr>
                <w:rFonts w:ascii="Times New Roman;Times;serif" w:hAnsi="Times New Roman;Times;serif"/>
                <w:b w:val="false"/>
                <w:i/>
                <w:color w:val="231F20"/>
                <w:sz w:val="20"/>
              </w:rPr>
              <w:t xml:space="preserve">Membership Hosting </w:t>
            </w:r>
            <w:r>
              <w:rPr>
                <w:rFonts w:ascii="Times New Roman;Times;serif" w:hAnsi="Times New Roman;Times;serif"/>
                <w:b w:val="false"/>
                <w:i w:val="false"/>
                <w:caps w:val="false"/>
                <w:smallCaps w:val="false"/>
                <w:color w:val="231F20"/>
                <w:sz w:val="20"/>
              </w:rPr>
              <w:t xml:space="preserve">customer up to designated capacity, pursuant to a separate management services agreement, and charge management services fee. We also charge additional fee, at our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 For our </w:t>
            </w:r>
            <w:r>
              <w:rPr>
                <w:rFonts w:ascii="Times New Roman;Times;serif" w:hAnsi="Times New Roman;Times;serif"/>
                <w:b w:val="false"/>
                <w:i/>
                <w:color w:val="231F20"/>
                <w:sz w:val="20"/>
              </w:rPr>
              <w:t xml:space="preserve">Membership Hosting </w:t>
            </w:r>
            <w:r>
              <w:rPr>
                <w:rFonts w:ascii="Times New Roman;Times;serif" w:hAnsi="Times New Roman;Times;serif"/>
                <w:b w:val="false"/>
                <w:i w:val="false"/>
                <w:caps w:val="false"/>
                <w:smallCaps w:val="false"/>
                <w:color w:val="231F20"/>
                <w:sz w:val="20"/>
              </w:rPr>
              <w:t xml:space="preserve">contracts, payment terms are individually negotiated and may differ among customers. Through this membership program, we seek to facilitate risk control and stable hosting income from large-scale miner customers by providing them reliable and long-term hosting capacity. We also intend to leverage our </w:t>
            </w:r>
            <w:r>
              <w:rPr>
                <w:rFonts w:ascii="Times New Roman;Times;serif" w:hAnsi="Times New Roman;Times;serif"/>
                <w:b w:val="false"/>
                <w:i/>
                <w:color w:val="231F20"/>
                <w:sz w:val="20"/>
              </w:rPr>
              <w:t xml:space="preserve">Membership Hosting </w:t>
            </w:r>
            <w:r>
              <w:rPr>
                <w:rFonts w:ascii="Times New Roman;Times;serif" w:hAnsi="Times New Roman;Times;serif"/>
                <w:b w:val="false"/>
                <w:i w:val="false"/>
                <w:caps w:val="false"/>
                <w:smallCaps w:val="false"/>
                <w:color w:val="231F20"/>
                <w:sz w:val="20"/>
              </w:rPr>
              <w:t xml:space="preserve">to facilitate the growth of </w:t>
            </w:r>
            <w:r>
              <w:rPr>
                <w:rFonts w:ascii="Times New Roman;Times;serif" w:hAnsi="Times New Roman;Times;serif"/>
                <w:b w:val="false"/>
                <w:i/>
                <w:color w:val="231F20"/>
                <w:sz w:val="20"/>
              </w:rPr>
              <w:t xml:space="preserve">Hash Rate Marketplace </w:t>
            </w:r>
            <w:r>
              <w:rPr>
                <w:rFonts w:ascii="Times New Roman;Times;serif" w:hAnsi="Times New Roman;Times;serif"/>
                <w:b w:val="false"/>
                <w:i w:val="false"/>
                <w:caps w:val="false"/>
                <w:smallCaps w:val="false"/>
                <w:color w:val="231F20"/>
                <w:sz w:val="20"/>
              </w:rPr>
              <w:t xml:space="preserve">as we encourage some of the </w:t>
            </w:r>
            <w:r>
              <w:rPr>
                <w:rFonts w:ascii="Times New Roman;Times;serif" w:hAnsi="Times New Roman;Times;serif"/>
                <w:b w:val="false"/>
                <w:i/>
                <w:color w:val="231F20"/>
                <w:sz w:val="20"/>
              </w:rPr>
              <w:t xml:space="preserve">Membership Hosting </w:t>
            </w:r>
            <w:r>
              <w:rPr>
                <w:rFonts w:ascii="Times New Roman;Times;serif" w:hAnsi="Times New Roman;Times;serif"/>
                <w:b w:val="false"/>
                <w:i w:val="false"/>
                <w:caps w:val="false"/>
                <w:smallCaps w:val="false"/>
                <w:color w:val="231F20"/>
                <w:sz w:val="20"/>
              </w:rPr>
              <w:t xml:space="preserve">customers to become hash rate suppliers on our </w:t>
            </w:r>
            <w:r>
              <w:rPr>
                <w:rFonts w:ascii="Times New Roman;Times;serif" w:hAnsi="Times New Roman;Times;serif"/>
                <w:b w:val="false"/>
                <w:i/>
                <w:color w:val="231F20"/>
                <w:sz w:val="20"/>
              </w:rPr>
              <w:t>Hash Rate Marketplace</w:t>
            </w:r>
            <w:r>
              <w:rPr>
                <w:rFonts w:ascii="Times New Roman;Times;serif" w:hAnsi="Times New Roman;Times;serif"/>
                <w:b w:val="false"/>
                <w:i w:val="false"/>
                <w:caps w:val="false"/>
                <w:smallCaps w:val="false"/>
                <w:color w:val="231F20"/>
                <w:sz w:val="20"/>
              </w:rPr>
              <w:t xml:space="preserve">. We generated no revenue prior to December 31, 2021 and revenue of US$26.1 million for the year ended December 31, 2022, from </w:t>
            </w:r>
            <w:r>
              <w:rPr>
                <w:rFonts w:ascii="Times New Roman;Times;serif" w:hAnsi="Times New Roman;Times;serif"/>
                <w:b w:val="false"/>
                <w:i/>
                <w:color w:val="231F20"/>
                <w:sz w:val="20"/>
              </w:rPr>
              <w:t>Membership Hosting</w:t>
            </w:r>
            <w:r>
              <w:rPr>
                <w:rFonts w:ascii="Times New Roman;Times;serif" w:hAnsi="Times New Roman;Times;serif"/>
                <w:b w:val="false"/>
                <w:i w:val="false"/>
                <w:caps w:val="false"/>
                <w:smallCaps w:val="false"/>
                <w:color w:val="231F20"/>
                <w:sz w:val="20"/>
              </w:rPr>
              <w:t>.</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major differences among </w:t>
      </w:r>
      <w:r>
        <w:rPr>
          <w:rFonts w:ascii="Times New Roman;Times;serif" w:hAnsi="Times New Roman;Times;serif"/>
          <w:i/>
          <w:sz w:val="20"/>
        </w:rPr>
        <w:t>Cloud Hosting</w:t>
      </w:r>
      <w:r>
        <w:rPr>
          <w:rFonts w:ascii="Times New Roman;Times;serif" w:hAnsi="Times New Roman;Times;serif"/>
          <w:sz w:val="20"/>
        </w:rPr>
        <w:t xml:space="preserve">, </w:t>
      </w:r>
      <w:r>
        <w:rPr>
          <w:rFonts w:ascii="Times New Roman;Times;serif" w:hAnsi="Times New Roman;Times;serif"/>
          <w:i/>
          <w:sz w:val="20"/>
        </w:rPr>
        <w:t xml:space="preserve">General Hosting </w:t>
      </w:r>
      <w:r>
        <w:rPr>
          <w:rFonts w:ascii="Times New Roman;Times;serif" w:hAnsi="Times New Roman;Times;serif"/>
          <w:sz w:val="20"/>
        </w:rPr>
        <w:t xml:space="preserve">and </w:t>
      </w:r>
      <w:r>
        <w:rPr>
          <w:rFonts w:ascii="Times New Roman;Times;serif" w:hAnsi="Times New Roman;Times;serif"/>
          <w:i/>
          <w:sz w:val="20"/>
        </w:rPr>
        <w:t xml:space="preserve">Membership Hosting </w:t>
      </w:r>
      <w:r>
        <w:rPr>
          <w:rFonts w:ascii="Times New Roman;Times;serif" w:hAnsi="Times New Roman;Times;serif"/>
          <w:sz w:val="20"/>
        </w:rPr>
        <w:t>are the sources of mining machines, the target customers and the customers’ payment of hosting fees, as summarized below.</w:t>
      </w:r>
    </w:p>
    <w:p>
      <w:pPr>
        <w:pStyle w:val="Normal"/>
        <w:spacing w:before="0" w:after="0"/>
        <w:rPr>
          <w:sz w:val="4"/>
          <w:szCs w:val="4"/>
        </w:rPr>
      </w:pPr>
      <w:r>
        <w:rPr>
          <w:sz w:val="4"/>
          <w:szCs w:val="4"/>
        </w:rPr>
      </w:r>
      <w:bookmarkStart w:id="52" w:name="_Hlk133201224"/>
      <w:bookmarkStart w:id="53" w:name="_Hlk133201224"/>
      <w:bookmarkEnd w:id="53"/>
    </w:p>
    <w:tbl>
      <w:tblPr>
        <w:tblW w:w="10205" w:type="dxa"/>
        <w:jc w:val="left"/>
        <w:tblInd w:w="0" w:type="dxa"/>
        <w:tblCellMar>
          <w:top w:w="0" w:type="dxa"/>
          <w:left w:w="0" w:type="dxa"/>
          <w:bottom w:w="0" w:type="dxa"/>
          <w:right w:w="0" w:type="dxa"/>
        </w:tblCellMar>
      </w:tblPr>
      <w:tblGrid>
        <w:gridCol w:w="1300"/>
        <w:gridCol w:w="326"/>
        <w:gridCol w:w="2070"/>
        <w:gridCol w:w="326"/>
        <w:gridCol w:w="1440"/>
        <w:gridCol w:w="326"/>
        <w:gridCol w:w="4224"/>
        <w:gridCol w:w="193"/>
      </w:tblGrid>
      <w:tr>
        <w:trPr/>
        <w:tc>
          <w:tcPr>
            <w:tcW w:w="1300"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29210"/>
                      <wp:effectExtent l="0" t="0" r="0" b="0"/>
                      <wp:wrapNone/>
                      <wp:docPr id="5" name="Frame5"/>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70"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440"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29210"/>
                      <wp:effectExtent l="0" t="0" r="0" b="0"/>
                      <wp:wrapNone/>
                      <wp:docPr id="7" name="Frame7"/>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682240" cy="29210"/>
                      <wp:effectExtent l="0" t="0" r="0" b="0"/>
                      <wp:wrapNone/>
                      <wp:docPr id="8" name="Frame8"/>
                      <a:graphic xmlns:a="http://schemas.openxmlformats.org/drawingml/2006/main">
                        <a:graphicData uri="http://schemas.microsoft.com/office/word/2010/wordprocessingShape">
                          <wps:wsp>
                            <wps:cNvSpPr txBox="1"/>
                            <wps:spPr>
                              <a:xfrm>
                                <a:off x="0" y="0"/>
                                <a:ext cx="268224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2555" cy="29210"/>
                      <wp:effectExtent l="0" t="0" r="0" b="0"/>
                      <wp:wrapNone/>
                      <wp:docPr id="9" name="Frame9"/>
                      <a:graphic xmlns:a="http://schemas.openxmlformats.org/drawingml/2006/main">
                        <a:graphicData uri="http://schemas.microsoft.com/office/word/2010/wordprocessingShape">
                          <wps:wsp>
                            <wps:cNvSpPr txBox="1"/>
                            <wps:spPr>
                              <a:xfrm>
                                <a:off x="0" y="0"/>
                                <a:ext cx="122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30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b/>
                <w:color w:val="231F20"/>
                <w:sz w:val="16"/>
              </w:rPr>
              <w:t>Hosting</w:t>
            </w:r>
            <w:r>
              <w:rPr>
                <w:rFonts w:ascii="Times New Roman;Times;serif" w:hAnsi="Times New Roman;Times;serif"/>
                <w:color w:val="231F20"/>
                <w:spacing w:val="-10"/>
                <w:sz w:val="16"/>
              </w:rPr>
              <w:t xml:space="preserve"> </w:t>
            </w:r>
            <w:r>
              <w:rPr>
                <w:rFonts w:ascii="Times New Roman;Times;serif" w:hAnsi="Times New Roman;Times;serif"/>
                <w:b/>
                <w:color w:val="231F20"/>
                <w:sz w:val="16"/>
              </w:rPr>
              <w:t>service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207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Sources of mining</w:t>
              <w:br/>
              <w:t>machines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14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color w:val="231F20"/>
                <w:sz w:val="16"/>
              </w:rPr>
              <w:t>Target</w:t>
            </w:r>
            <w:r>
              <w:rPr>
                <w:rFonts w:ascii="Times New Roman;Times;serif" w:hAnsi="Times New Roman;Times;serif"/>
                <w:color w:val="231F20"/>
                <w:spacing w:val="-17"/>
                <w:sz w:val="16"/>
              </w:rPr>
              <w:t> </w:t>
            </w:r>
            <w:r>
              <w:rPr>
                <w:rFonts w:ascii="Times New Roman;Times;serif" w:hAnsi="Times New Roman;Times;serif"/>
                <w:b/>
                <w:color w:val="231F20"/>
                <w:sz w:val="16"/>
              </w:rPr>
              <w:t>customers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422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Fees</w:t>
            </w:r>
          </w:p>
        </w:tc>
        <w:tc>
          <w:tcPr>
            <w:tcW w:w="193"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r>
      <w:tr>
        <w:trPr/>
        <w:tc>
          <w:tcPr>
            <w:tcW w:w="1300"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i/>
                <w:color w:val="231F20"/>
                <w:sz w:val="20"/>
              </w:rPr>
              <w:t>Cloud</w:t>
            </w:r>
            <w:r>
              <w:rPr>
                <w:rFonts w:ascii="Times New Roman;Times;serif" w:hAnsi="Times New Roman;Times;serif"/>
                <w:color w:val="231F20"/>
                <w:spacing w:val="-10"/>
                <w:sz w:val="20"/>
              </w:rPr>
              <w:t xml:space="preserve"> </w:t>
            </w:r>
            <w:r>
              <w:rPr>
                <w:rFonts w:ascii="Times New Roman;Times;serif" w:hAnsi="Times New Roman;Times;serif"/>
                <w:i/>
                <w:color w:val="231F20"/>
                <w:sz w:val="20"/>
              </w:rPr>
              <w:t>Hosting</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070"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z w:val="20"/>
              </w:rPr>
              <w:t>Mining machines</w:t>
            </w:r>
            <w:r>
              <w:rPr>
                <w:rFonts w:ascii="Times New Roman;Times;serif" w:hAnsi="Times New Roman;Times;serif"/>
                <w:color w:val="231F20"/>
                <w:spacing w:val="-3"/>
                <w:sz w:val="20"/>
              </w:rPr>
              <w:t xml:space="preserve"> </w:t>
            </w:r>
            <w:r>
              <w:rPr>
                <w:rFonts w:ascii="Times New Roman;Times;serif" w:hAnsi="Times New Roman;Times;serif"/>
                <w:color w:val="231F20"/>
                <w:spacing w:val="-7"/>
                <w:sz w:val="20"/>
              </w:rPr>
              <w:t xml:space="preserve">from </w:t>
            </w:r>
            <w:r>
              <w:rPr>
                <w:rFonts w:ascii="Times New Roman;Times;serif" w:hAnsi="Times New Roman;Times;serif"/>
                <w:color w:val="231F20"/>
                <w:sz w:val="20"/>
              </w:rPr>
              <w:t>our existing mining fleets</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1440"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z w:val="20"/>
              </w:rPr>
              <w:t>Retail</w:t>
            </w:r>
            <w:r>
              <w:rPr>
                <w:rFonts w:ascii="Times New Roman;Times;serif" w:hAnsi="Times New Roman;Times;serif"/>
                <w:color w:val="231F20"/>
                <w:spacing w:val="-4"/>
                <w:sz w:val="20"/>
              </w:rPr>
              <w:t xml:space="preserve"> </w:t>
            </w:r>
            <w:r>
              <w:rPr>
                <w:rFonts w:ascii="Times New Roman;Times;serif" w:hAnsi="Times New Roman;Times;serif"/>
                <w:color w:val="231F20"/>
                <w:sz w:val="20"/>
              </w:rPr>
              <w:t>miners</w:t>
            </w:r>
          </w:p>
        </w:tc>
        <w:tc>
          <w:tcPr>
            <w:tcW w:w="326" w:type="dxa"/>
            <w:tcBorders/>
            <w:shd w:fill="CCEEFF" w:val="clear"/>
            <w:vAlign w:val="center"/>
          </w:tcPr>
          <w:p>
            <w:pPr>
              <w:pStyle w:val="TableContents"/>
              <w:spacing w:before="0" w:after="240"/>
              <w:ind w:left="0" w:right="0" w:hanging="0"/>
              <w:jc w:val="both"/>
              <w:rPr>
                <w:color w:val="231F20"/>
              </w:rPr>
            </w:pPr>
            <w:r>
              <w:rPr>
                <w:color w:val="231F20"/>
              </w:rPr>
              <w:t>​</w:t>
            </w:r>
          </w:p>
        </w:tc>
        <w:tc>
          <w:tcPr>
            <w:tcW w:w="4224" w:type="dxa"/>
            <w:tcBorders>
              <w:top w:val="single" w:sz="2" w:space="0" w:color="000000"/>
            </w:tcBorders>
            <w:shd w:fill="CCEEFF" w:val="clear"/>
            <w:tcMar>
              <w:top w:w="28" w:type="dxa"/>
            </w:tcMar>
            <w:vAlign w:val="center"/>
          </w:tcPr>
          <w:p>
            <w:pPr>
              <w:pStyle w:val="TableContents"/>
              <w:spacing w:before="0" w:after="0"/>
              <w:ind w:left="0" w:right="0" w:hanging="0"/>
              <w:rPr/>
            </w:pPr>
            <w:r>
              <w:rPr>
                <w:color w:val="231F20"/>
              </w:rPr>
              <w:t xml:space="preserve">– </w:t>
            </w:r>
            <w:r>
              <w:rPr>
                <w:rFonts w:ascii="Times New Roman;Times;serif" w:hAnsi="Times New Roman;Times;serif"/>
                <w:color w:val="231F20"/>
                <w:sz w:val="20"/>
              </w:rPr>
              <w:t xml:space="preserve">Upfront payment for </w:t>
            </w:r>
            <w:r>
              <w:rPr>
                <w:rFonts w:ascii="Times New Roman;Times;serif" w:hAnsi="Times New Roman;Times;serif"/>
                <w:sz w:val="20"/>
              </w:rPr>
              <w:t>subscription</w:t>
            </w:r>
            <w:r>
              <w:rPr>
                <w:rFonts w:ascii="Times New Roman;Times;serif" w:hAnsi="Times New Roman;Times;serif"/>
                <w:color w:val="231F20"/>
                <w:spacing w:val="49"/>
                <w:sz w:val="20"/>
              </w:rPr>
              <w:t xml:space="preserve"> </w:t>
            </w:r>
            <w:r>
              <w:rPr>
                <w:rFonts w:ascii="Times New Roman;Times;serif" w:hAnsi="Times New Roman;Times;serif"/>
                <w:color w:val="231F20"/>
                <w:sz w:val="20"/>
              </w:rPr>
              <w:t>of computing power from our mining machines</w:t>
            </w:r>
          </w:p>
        </w:tc>
        <w:tc>
          <w:tcPr>
            <w:tcW w:w="193" w:type="dxa"/>
            <w:tcBorders/>
            <w:shd w:fill="CCEEFF" w:val="clear"/>
            <w:vAlign w:val="center"/>
          </w:tcPr>
          <w:p>
            <w:pPr>
              <w:pStyle w:val="TableContents"/>
              <w:spacing w:before="0" w:after="240"/>
              <w:ind w:left="0" w:right="0" w:hanging="0"/>
              <w:jc w:val="both"/>
              <w:rPr>
                <w:color w:val="231F20"/>
              </w:rPr>
            </w:pPr>
            <w:r>
              <w:rPr>
                <w:color w:val="231F20"/>
              </w:rPr>
              <w:t>​</w:t>
            </w:r>
          </w:p>
        </w:tc>
      </w:tr>
      <w:tr>
        <w:trPr/>
        <w:tc>
          <w:tcPr>
            <w:tcW w:w="1300"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2070"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440"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4224" w:type="dxa"/>
            <w:tcBorders/>
            <w:shd w:fill="auto" w:val="clear"/>
            <w:vAlign w:val="center"/>
          </w:tcPr>
          <w:p>
            <w:pPr>
              <w:pStyle w:val="TableContents"/>
              <w:spacing w:before="0" w:after="0"/>
              <w:ind w:left="0" w:right="0" w:hanging="0"/>
              <w:rPr>
                <w:color w:val="231F20"/>
              </w:rPr>
            </w:pPr>
            <w:r>
              <w:rPr>
                <w:color w:val="231F20"/>
              </w:rPr>
              <w:t xml:space="preserve">– </w:t>
            </w:r>
            <w:r>
              <w:rPr>
                <w:rFonts w:ascii="Times New Roman;Times;serif" w:hAnsi="Times New Roman;Times;serif"/>
                <w:color w:val="231F20"/>
                <w:sz w:val="20"/>
              </w:rPr>
              <w:t>Maintenance fees throughout the service process</w:t>
            </w:r>
          </w:p>
        </w:tc>
        <w:tc>
          <w:tcPr>
            <w:tcW w:w="193" w:type="dxa"/>
            <w:tcBorders/>
            <w:shd w:fill="auto" w:val="clear"/>
            <w:vAlign w:val="center"/>
          </w:tcPr>
          <w:p>
            <w:pPr>
              <w:pStyle w:val="TableContents"/>
              <w:spacing w:before="0" w:after="0"/>
              <w:ind w:left="0" w:right="0" w:hanging="0"/>
              <w:rPr>
                <w:color w:val="231F20"/>
              </w:rPr>
            </w:pPr>
            <w:r>
              <w:rPr>
                <w:color w:val="231F20"/>
              </w:rPr>
              <w:t>​</w:t>
            </w:r>
          </w:p>
        </w:tc>
      </w:tr>
      <w:tr>
        <w:trPr/>
        <w:tc>
          <w:tcPr>
            <w:tcW w:w="130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i/>
                <w:color w:val="231F20"/>
                <w:sz w:val="20"/>
              </w:rPr>
              <w:t>General</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Hosting</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0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z w:val="20"/>
              </w:rPr>
              <w:t>Mining machines</w:t>
            </w:r>
            <w:r>
              <w:rPr>
                <w:rFonts w:ascii="Times New Roman;Times;serif" w:hAnsi="Times New Roman;Times;serif"/>
                <w:color w:val="231F20"/>
                <w:spacing w:val="-3"/>
                <w:sz w:val="20"/>
              </w:rPr>
              <w:t xml:space="preserve"> </w:t>
            </w:r>
            <w:r>
              <w:rPr>
                <w:rFonts w:ascii="Times New Roman;Times;serif" w:hAnsi="Times New Roman;Times;serif"/>
                <w:color w:val="231F20"/>
                <w:spacing w:val="-7"/>
                <w:sz w:val="20"/>
              </w:rPr>
              <w:t xml:space="preserve">from </w:t>
            </w:r>
            <w:r>
              <w:rPr>
                <w:rFonts w:ascii="Times New Roman;Times;serif" w:hAnsi="Times New Roman;Times;serif"/>
                <w:color w:val="231F20"/>
                <w:sz w:val="20"/>
              </w:rPr>
              <w:t>target customers</w:t>
            </w:r>
          </w:p>
        </w:tc>
        <w:tc>
          <w:tcPr>
            <w:tcW w:w="326" w:type="dxa"/>
            <w:tcBorders/>
            <w:shd w:fill="CCEEFF" w:val="clear"/>
            <w:vAlign w:val="center"/>
          </w:tcPr>
          <w:p>
            <w:pPr>
              <w:pStyle w:val="TableContents"/>
              <w:spacing w:before="0" w:after="0"/>
              <w:ind w:left="0" w:right="0" w:hanging="0"/>
              <w:rPr>
                <w:color w:val="231F20"/>
                <w:spacing w:val="-2"/>
              </w:rPr>
            </w:pPr>
            <w:r>
              <w:rPr>
                <w:color w:val="231F20"/>
                <w:spacing w:val="-2"/>
              </w:rPr>
              <w:t>​</w:t>
            </w:r>
          </w:p>
        </w:tc>
        <w:tc>
          <w:tcPr>
            <w:tcW w:w="14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pacing w:val="-2"/>
                <w:sz w:val="20"/>
              </w:rPr>
              <w:t xml:space="preserve">Professional </w:t>
            </w:r>
            <w:r>
              <w:rPr>
                <w:rFonts w:ascii="Times New Roman;Times;serif" w:hAnsi="Times New Roman;Times;serif"/>
                <w:color w:val="231F20"/>
                <w:sz w:val="20"/>
              </w:rPr>
              <w:t>miners</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4224" w:type="dxa"/>
            <w:tcBorders/>
            <w:shd w:fill="CCEEFF" w:val="clear"/>
            <w:vAlign w:val="center"/>
          </w:tcPr>
          <w:p>
            <w:pPr>
              <w:pStyle w:val="TableContents"/>
              <w:spacing w:before="0" w:after="0"/>
              <w:ind w:left="0" w:right="0" w:hanging="0"/>
              <w:rPr>
                <w:color w:val="231F20"/>
              </w:rPr>
            </w:pPr>
            <w:r>
              <w:rPr>
                <w:color w:val="231F20"/>
              </w:rPr>
              <w:t xml:space="preserve">– </w:t>
            </w:r>
            <w:r>
              <w:rPr>
                <w:rFonts w:ascii="Times New Roman;Times;serif" w:hAnsi="Times New Roman;Times;serif"/>
                <w:color w:val="231F20"/>
                <w:sz w:val="20"/>
              </w:rPr>
              <w:t>Monthly payment for hosting service based on actual consumption of our mining datacenter resources, such as electricity</w:t>
            </w:r>
          </w:p>
        </w:tc>
        <w:tc>
          <w:tcPr>
            <w:tcW w:w="193" w:type="dxa"/>
            <w:tcBorders/>
            <w:shd w:fill="CCEEFF" w:val="clear"/>
            <w:vAlign w:val="center"/>
          </w:tcPr>
          <w:p>
            <w:pPr>
              <w:pStyle w:val="TableContents"/>
              <w:spacing w:before="0" w:after="0"/>
              <w:ind w:left="0" w:right="0" w:hanging="0"/>
              <w:rPr>
                <w:color w:val="231F20"/>
              </w:rPr>
            </w:pPr>
            <w:r>
              <w:rPr>
                <w:color w:val="231F20"/>
              </w:rPr>
              <w:t>​</w:t>
            </w:r>
          </w:p>
        </w:tc>
      </w:tr>
      <w:tr>
        <w:trPr/>
        <w:tc>
          <w:tcPr>
            <w:tcW w:w="1300" w:type="dxa"/>
            <w:tcBorders/>
            <w:shd w:fill="auto" w:val="clear"/>
            <w:vAlign w:val="center"/>
          </w:tcPr>
          <w:p>
            <w:pPr>
              <w:pStyle w:val="TableContents"/>
              <w:spacing w:before="0" w:after="0"/>
              <w:ind w:left="0" w:right="0" w:hanging="0"/>
              <w:rPr>
                <w:rFonts w:ascii="Times New Roman;Times;serif" w:hAnsi="Times New Roman;Times;serif"/>
                <w:i/>
                <w:color w:val="231F20"/>
                <w:sz w:val="20"/>
              </w:rPr>
            </w:pPr>
            <w:r>
              <w:rPr>
                <w:rFonts w:ascii="Times New Roman;Times;serif" w:hAnsi="Times New Roman;Times;serif"/>
                <w:i/>
                <w:color w:val="231F20"/>
                <w:sz w:val="20"/>
              </w:rPr>
              <w:t>Membership Hosting</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0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color w:val="231F20"/>
                <w:sz w:val="20"/>
              </w:rPr>
              <w:t xml:space="preserve">Mining machines </w:t>
            </w:r>
            <w:r>
              <w:rPr>
                <w:rFonts w:ascii="Times New Roman;Times;serif" w:hAnsi="Times New Roman;Times;serif"/>
                <w:color w:val="231F20"/>
                <w:spacing w:val="-7"/>
                <w:sz w:val="20"/>
              </w:rPr>
              <w:t xml:space="preserve">from </w:t>
            </w:r>
            <w:r>
              <w:rPr>
                <w:rFonts w:ascii="Times New Roman;Times;serif" w:hAnsi="Times New Roman;Times;serif"/>
                <w:color w:val="231F20"/>
                <w:sz w:val="20"/>
              </w:rPr>
              <w:t>target customers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1440"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Large-scale miners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4224" w:type="dxa"/>
            <w:tcBorders/>
            <w:shd w:fill="auto" w:val="clear"/>
            <w:vAlign w:val="center"/>
          </w:tcPr>
          <w:p>
            <w:pPr>
              <w:pStyle w:val="TableContents"/>
              <w:spacing w:before="0" w:after="0"/>
              <w:ind w:left="0" w:right="0" w:hanging="0"/>
              <w:rPr/>
            </w:pPr>
            <w:r>
              <w:rPr>
                <w:color w:val="231F20"/>
              </w:rPr>
              <w:t xml:space="preserve">– </w:t>
            </w:r>
            <w:r>
              <w:rPr>
                <w:rFonts w:ascii="Times New Roman;Times;serif" w:hAnsi="Times New Roman;Times;serif"/>
                <w:color w:val="231F20"/>
                <w:sz w:val="20"/>
              </w:rPr>
              <w:t>Upfront</w:t>
            </w:r>
            <w:r>
              <w:rPr>
                <w:rFonts w:ascii="Times New Roman;Times;serif" w:hAnsi="Times New Roman;Times;serif"/>
                <w:color w:val="231F20"/>
                <w:spacing w:val="-10"/>
                <w:sz w:val="20"/>
              </w:rPr>
              <w:t xml:space="preserve"> </w:t>
            </w:r>
            <w:r>
              <w:rPr>
                <w:rFonts w:ascii="Times New Roman;Times;serif" w:hAnsi="Times New Roman;Times;serif"/>
                <w:color w:val="231F20"/>
                <w:sz w:val="20"/>
              </w:rPr>
              <w:t>payment</w:t>
            </w:r>
            <w:r>
              <w:rPr>
                <w:rFonts w:ascii="Times New Roman;Times;serif" w:hAnsi="Times New Roman;Times;serif"/>
                <w:color w:val="231F20"/>
                <w:spacing w:val="-9"/>
                <w:sz w:val="20"/>
              </w:rPr>
              <w:t xml:space="preserv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secure</w:t>
            </w:r>
            <w:r>
              <w:rPr>
                <w:rFonts w:ascii="Times New Roman;Times;serif" w:hAnsi="Times New Roman;Times;serif"/>
                <w:color w:val="231F20"/>
                <w:spacing w:val="-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9"/>
                <w:sz w:val="20"/>
              </w:rPr>
              <w:t xml:space="preserve"> </w:t>
            </w:r>
            <w:r>
              <w:rPr>
                <w:rFonts w:ascii="Times New Roman;Times;serif" w:hAnsi="Times New Roman;Times;serif"/>
                <w:color w:val="231F20"/>
                <w:sz w:val="20"/>
              </w:rPr>
              <w:t>capacity</w:t>
            </w:r>
          </w:p>
        </w:tc>
        <w:tc>
          <w:tcPr>
            <w:tcW w:w="193" w:type="dxa"/>
            <w:tcBorders/>
            <w:shd w:fill="auto" w:val="clear"/>
            <w:vAlign w:val="center"/>
          </w:tcPr>
          <w:p>
            <w:pPr>
              <w:pStyle w:val="TableContents"/>
              <w:spacing w:before="0" w:after="0"/>
              <w:ind w:left="0" w:right="0" w:hanging="0"/>
              <w:rPr>
                <w:color w:val="231F20"/>
              </w:rPr>
            </w:pPr>
            <w:r>
              <w:rPr>
                <w:color w:val="231F20"/>
              </w:rPr>
              <w:t>​</w:t>
            </w:r>
          </w:p>
        </w:tc>
      </w:tr>
      <w:tr>
        <w:trPr/>
        <w:tc>
          <w:tcPr>
            <w:tcW w:w="1300" w:type="dxa"/>
            <w:tcBorders/>
            <w:shd w:fill="CCEEFF" w:val="clear"/>
            <w:vAlign w:val="center"/>
          </w:tcPr>
          <w:p>
            <w:pPr>
              <w:pStyle w:val="TableContents"/>
              <w:pBdr/>
              <w:spacing w:before="0" w:after="0"/>
              <w:ind w:left="0" w:right="0" w:hanging="0"/>
              <w:rPr/>
            </w:pPr>
            <w:r>
              <w:rPr/>
              <w:t>​</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2070"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440"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4224" w:type="dxa"/>
            <w:tcBorders/>
            <w:shd w:fill="CCEEFF" w:val="clear"/>
            <w:vAlign w:val="center"/>
          </w:tcPr>
          <w:p>
            <w:pPr>
              <w:pStyle w:val="TableContents"/>
              <w:spacing w:before="0" w:after="0"/>
              <w:ind w:left="0" w:right="0" w:hanging="0"/>
              <w:rPr/>
            </w:pPr>
            <w:r>
              <w:rPr>
                <w:color w:val="231F20"/>
              </w:rPr>
              <w:t xml:space="preserve">– </w:t>
            </w:r>
            <w:r>
              <w:rPr>
                <w:rFonts w:ascii="Times New Roman;Times;serif" w:hAnsi="Times New Roman;Times;serif"/>
                <w:color w:val="231F20"/>
                <w:sz w:val="20"/>
              </w:rPr>
              <w:t xml:space="preserve">Monthly payment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management service based on the actual consumption of our mining datacenter resources, such as electricity, after the delivery of</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capacity.</w:t>
            </w:r>
          </w:p>
        </w:tc>
        <w:tc>
          <w:tcPr>
            <w:tcW w:w="193" w:type="dxa"/>
            <w:tcBorders/>
            <w:shd w:fill="CCEEFF" w:val="clear"/>
            <w:vAlign w:val="center"/>
          </w:tcPr>
          <w:p>
            <w:pPr>
              <w:pStyle w:val="TableContents"/>
              <w:spacing w:before="0" w:after="0"/>
              <w:ind w:left="0" w:right="0" w:hanging="0"/>
              <w:rPr>
                <w:color w:val="231F20"/>
              </w:rPr>
            </w:pPr>
            <w:r>
              <w:rPr>
                <w:color w:val="231F20"/>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near future, we expect to focus on further expanding </w:t>
      </w:r>
      <w:r>
        <w:rPr>
          <w:rFonts w:ascii="Times New Roman;Times;serif" w:hAnsi="Times New Roman;Times;serif"/>
          <w:i/>
          <w:sz w:val="20"/>
        </w:rPr>
        <w:t xml:space="preserve">General Hosting </w:t>
      </w:r>
      <w:r>
        <w:rPr>
          <w:rFonts w:ascii="Times New Roman;Times;serif" w:hAnsi="Times New Roman;Times;serif"/>
          <w:sz w:val="20"/>
        </w:rPr>
        <w:t xml:space="preserve">and </w:t>
      </w:r>
      <w:r>
        <w:rPr>
          <w:rFonts w:ascii="Times New Roman;Times;serif" w:hAnsi="Times New Roman;Times;serif"/>
          <w:i/>
          <w:sz w:val="20"/>
        </w:rPr>
        <w:t xml:space="preserve">Membership Hosting </w:t>
      </w:r>
      <w:r>
        <w:rPr>
          <w:rFonts w:ascii="Times New Roman;Times;serif" w:hAnsi="Times New Roman;Times;serif"/>
          <w:sz w:val="20"/>
        </w:rPr>
        <w:t xml:space="preserve">by allocating a greater portion of our growing mining datacenter capacity. We expect to continue offering existing </w:t>
      </w:r>
      <w:r>
        <w:rPr>
          <w:rFonts w:ascii="Times New Roman;Times;serif" w:hAnsi="Times New Roman;Times;serif"/>
          <w:i/>
          <w:sz w:val="20"/>
        </w:rPr>
        <w:t xml:space="preserve">Cloud Hosting </w:t>
      </w:r>
      <w:r>
        <w:rPr>
          <w:rFonts w:ascii="Times New Roman;Times;serif" w:hAnsi="Times New Roman;Times;serif"/>
          <w:sz w:val="20"/>
        </w:rPr>
        <w:t xml:space="preserve">plans but no longer as our mainstream product. We believe that focusing on </w:t>
      </w:r>
      <w:r>
        <w:rPr>
          <w:rFonts w:ascii="Times New Roman;Times;serif" w:hAnsi="Times New Roman;Times;serif"/>
          <w:i/>
          <w:sz w:val="20"/>
        </w:rPr>
        <w:t xml:space="preserve">General Hosting </w:t>
      </w:r>
      <w:r>
        <w:rPr>
          <w:rFonts w:ascii="Times New Roman;Times;serif" w:hAnsi="Times New Roman;Times;serif"/>
          <w:sz w:val="20"/>
        </w:rPr>
        <w:t xml:space="preserve">and </w:t>
      </w:r>
      <w:r>
        <w:rPr>
          <w:rFonts w:ascii="Times New Roman;Times;serif" w:hAnsi="Times New Roman;Times;serif"/>
          <w:i/>
          <w:sz w:val="20"/>
        </w:rPr>
        <w:t xml:space="preserve">Membership Hosting </w:t>
      </w:r>
      <w:r>
        <w:rPr>
          <w:rFonts w:ascii="Times New Roman;Times;serif" w:hAnsi="Times New Roman;Times;serif"/>
          <w:sz w:val="20"/>
        </w:rPr>
        <w:t xml:space="preserve">services will enable us to maximize assets utilization with minimal capital expenditure for our growing mining datacenter capacity, maximize overall scale of hash rate supported by our software platform </w:t>
      </w:r>
      <w:r>
        <w:rPr>
          <w:rFonts w:ascii="Times New Roman;Times;serif" w:hAnsi="Times New Roman;Times;serif"/>
          <w:i/>
          <w:sz w:val="20"/>
        </w:rPr>
        <w:t xml:space="preserve">Minerplus </w:t>
      </w:r>
      <w:r>
        <w:rPr>
          <w:rFonts w:ascii="Times New Roman;Times;serif" w:hAnsi="Times New Roman;Times;serif"/>
          <w:sz w:val="20"/>
        </w:rPr>
        <w:t>which may lead to future business opportunities, and improve the operational efficiency by serving professional customers.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Minerplus </w:t>
      </w:r>
      <w:r>
        <w:rPr>
          <w:rFonts w:ascii="Times New Roman;Times;serif" w:hAnsi="Times New Roman;Times;serif"/>
          <w:sz w:val="20"/>
        </w:rPr>
        <w:t xml:space="preserve">is our self-developed integrated intelligent software platform that offers software support to significantly reduce time needed for daily maintenance and mining machine upgrade and substantially decrease operation and maintenance headcount. The functions of </w:t>
      </w:r>
      <w:r>
        <w:rPr>
          <w:rFonts w:ascii="Times New Roman;Times;serif" w:hAnsi="Times New Roman;Times;serif"/>
          <w:i/>
          <w:sz w:val="20"/>
        </w:rPr>
        <w:t xml:space="preserve">Minerplus </w:t>
      </w:r>
      <w:r>
        <w:rPr>
          <w:rFonts w:ascii="Times New Roman;Times;serif" w:hAnsi="Times New Roman;Times;serif"/>
          <w:sz w:val="20"/>
        </w:rPr>
        <w:t xml:space="preserve">mainly encompasses real-time mining datacenter and hash rate monitoring as well as virus detection and removal. </w:t>
      </w:r>
      <w:r>
        <w:rPr>
          <w:rFonts w:ascii="Times New Roman;Times;serif" w:hAnsi="Times New Roman;Times;serif"/>
          <w:i/>
          <w:sz w:val="20"/>
        </w:rPr>
        <w:t xml:space="preserve">Minerplus </w:t>
      </w:r>
      <w:r>
        <w:rPr>
          <w:rFonts w:ascii="Times New Roman;Times;serif" w:hAnsi="Times New Roman;Times;serif"/>
          <w:sz w:val="20"/>
        </w:rPr>
        <w:t xml:space="preserve">enables intelligent management of our proprietary mining business and enhances product and service quality of </w:t>
      </w:r>
      <w:r>
        <w:rPr>
          <w:rFonts w:ascii="Times New Roman;Times;serif" w:hAnsi="Times New Roman;Times;serif"/>
          <w:i/>
          <w:sz w:val="20"/>
        </w:rPr>
        <w:t xml:space="preserve">Cloud Hash Rate </w:t>
      </w:r>
      <w:r>
        <w:rPr>
          <w:rFonts w:ascii="Times New Roman;Times;serif" w:hAnsi="Times New Roman;Times;serif"/>
          <w:sz w:val="20"/>
        </w:rPr>
        <w:t xml:space="preserve">and our hosting services. We also provide standalone </w:t>
      </w:r>
      <w:r>
        <w:rPr>
          <w:rFonts w:ascii="Times New Roman;Times;serif" w:hAnsi="Times New Roman;Times;serif"/>
          <w:i/>
          <w:sz w:val="20"/>
        </w:rPr>
        <w:t xml:space="preserve">Minerplus </w:t>
      </w:r>
      <w:r>
        <w:rPr>
          <w:rFonts w:ascii="Times New Roman;Times;serif" w:hAnsi="Times New Roman;Times;serif"/>
          <w:sz w:val="20"/>
        </w:rPr>
        <w:t>service to third-party mining datacenters.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Measures to prevent unauthorized or impermissible customer access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established anti-money laundering (“AML”) processes, know your customer (“KYC”) procedures and IP address geo-blocking measures, to prevent unauthorized and impermissible access to our hash rate products by U.S. customers and customers from other jurisdictions where we have identified laws or regulations that restrict the offering of our hash rate products. These measures generally encompass the following key steps: 1) following IP address and customer identification, IP addresses located in regions such as Cuba, Iran, North Korea, Syria, and Crimea Area, will be blocked, and IP addresses in most other areas, including the United States, will be asked to complete AML and KYC procedures prior to purchasing our products and services; 2) following and based on the results of customer due diligence process, customers from the United States or other applicable jurisdictions will be denied purchase of our hash rate products; </w:t>
      </w:r>
      <w:r>
        <w:rPr>
          <w:rFonts w:ascii="Times New Roman;Times;serif" w:hAnsi="Times New Roman;Times;serif"/>
          <w:color w:val="231F20"/>
          <w:sz w:val="20"/>
        </w:rPr>
        <w:t>3) transactions and the KYC status of the customers will be subject to our monitoring and periodic review.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a discussion of the risks relating to offering our hash rate products to U.S. customers and/or customers from other jurisdictions where such  offering  may  be  restricted,  see  the  section  entitled  “Item 3.D — Key Information — Risk Factors — Risks Related to Regulatory Compliance and Other Legal Matters — Our hash rate sharing business may be subject to U.S. jurisdiction if we are not able to avoid offering or selling our hash rate products to U.S. customers. Additionally, our hash rate sharing business may be deemed as securities offerings in other jurisdictions where it is offered.”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Cryptocurrencies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Cryptocurrencies and Protocols Involved in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96.5%, 96.9% and 96.1% of our proprietary mining revenue for the years ended December 31, 2020, 2021 and 2022 respectively were generated from Bitcoin mining. The remaining mining yield were generated from Zcash, Ethereum, Dogecoin, Litecoin and other cryptocurrencies that are less mainstream, as illustrated below:</w:t>
      </w:r>
    </w:p>
    <w:tbl>
      <w:tblPr>
        <w:tblW w:w="6553" w:type="dxa"/>
        <w:jc w:val="left"/>
        <w:tblInd w:w="0" w:type="dxa"/>
        <w:tblCellMar>
          <w:top w:w="0" w:type="dxa"/>
          <w:left w:w="0" w:type="dxa"/>
          <w:bottom w:w="0" w:type="dxa"/>
          <w:right w:w="0" w:type="dxa"/>
        </w:tblCellMar>
      </w:tblPr>
      <w:tblGrid>
        <w:gridCol w:w="646"/>
        <w:gridCol w:w="326"/>
        <w:gridCol w:w="676"/>
        <w:gridCol w:w="326"/>
        <w:gridCol w:w="571"/>
        <w:gridCol w:w="326"/>
        <w:gridCol w:w="781"/>
        <w:gridCol w:w="326"/>
        <w:gridCol w:w="571"/>
        <w:gridCol w:w="326"/>
        <w:gridCol w:w="676"/>
        <w:gridCol w:w="326"/>
        <w:gridCol w:w="676"/>
      </w:tblGrid>
      <w:tr>
        <w:trPr/>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0210" cy="175260"/>
                      <wp:effectExtent l="0" t="0" r="0" b="0"/>
                      <wp:wrapNone/>
                      <wp:docPr id="10" name="Frame10"/>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29260" cy="175260"/>
                      <wp:effectExtent l="0" t="0" r="0" b="0"/>
                      <wp:wrapNone/>
                      <wp:docPr id="12" name="Frame1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175260"/>
                      <wp:effectExtent l="0" t="0" r="0" b="0"/>
                      <wp:wrapNone/>
                      <wp:docPr id="14" name="Frame1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62585" cy="175260"/>
                      <wp:effectExtent l="0" t="0" r="0" b="0"/>
                      <wp:wrapNone/>
                      <wp:docPr id="18" name="Frame1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8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553"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6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81"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BTC</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85,355</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185,656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59,845</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ZEC</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ETH</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LTC</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BCH</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CKB</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DCR</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ETC</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DASH</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DOGE</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XCH</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HNS</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NMC</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ELA</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88,493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191,693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62,359</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84.5%, 93.4% and 95.7% of our </w:t>
      </w:r>
      <w:r>
        <w:rPr>
          <w:rFonts w:ascii="Times New Roman;Times;serif" w:hAnsi="Times New Roman;Times;serif"/>
          <w:i/>
          <w:sz w:val="20"/>
        </w:rPr>
        <w:t xml:space="preserve">Cloud Hash Rate </w:t>
      </w:r>
      <w:r>
        <w:rPr>
          <w:rFonts w:ascii="Times New Roman;Times;serif" w:hAnsi="Times New Roman;Times;serif"/>
          <w:sz w:val="20"/>
        </w:rPr>
        <w:t xml:space="preserve">revenue for the years ended December 31, 2020, 2021 and 2022 respectively were generated from hash rate plans subscribed for Bitcoin mining. We have commenced mining operation on a proprietary basis for Filecoin, which adopted PoST protocol, and also offered computing power sharing solutions regarding Filecoin mining under our </w:t>
      </w:r>
      <w:r>
        <w:rPr>
          <w:rFonts w:ascii="Times New Roman;Times;serif" w:hAnsi="Times New Roman;Times;serif"/>
          <w:i/>
          <w:sz w:val="20"/>
        </w:rPr>
        <w:t xml:space="preserve">Cloud Hash Rate </w:t>
      </w:r>
      <w:r>
        <w:rPr>
          <w:rFonts w:ascii="Times New Roman;Times;serif" w:hAnsi="Times New Roman;Times;serif"/>
          <w:sz w:val="20"/>
        </w:rPr>
        <w:t>business. While we intend to enrich our product and service portfolio by providing mining services covering new crypto protocols, including PoS, DPoS, PoST and PoC, we have not determined the type of cryptocurrency to expand our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Policies and Procedures Related to Our Cryptocurrencies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obtain cryptocurrencies from proprietary mining and also generally accept cryptocurrencies as payments for services available to customers, such as </w:t>
      </w:r>
      <w:r>
        <w:rPr>
          <w:rFonts w:ascii="Times New Roman;Times;serif" w:hAnsi="Times New Roman;Times;serif"/>
          <w:i/>
          <w:sz w:val="20"/>
        </w:rPr>
        <w:t>Cloud Hash Rate</w:t>
      </w:r>
      <w:r>
        <w:rPr>
          <w:rFonts w:ascii="Times New Roman;Times;serif" w:hAnsi="Times New Roman;Times;serif"/>
          <w:sz w:val="20"/>
        </w:rPr>
        <w:t xml:space="preserve">, </w:t>
      </w:r>
      <w:r>
        <w:rPr>
          <w:rFonts w:ascii="Times New Roman;Times;serif" w:hAnsi="Times New Roman;Times;serif"/>
          <w:i/>
          <w:sz w:val="20"/>
        </w:rPr>
        <w:t>Cloud Hosting</w:t>
      </w:r>
      <w:r>
        <w:rPr>
          <w:rFonts w:ascii="Times New Roman;Times;serif" w:hAnsi="Times New Roman;Times;serif"/>
          <w:sz w:val="20"/>
        </w:rPr>
        <w:t xml:space="preserve">, </w:t>
      </w:r>
      <w:r>
        <w:rPr>
          <w:rFonts w:ascii="Times New Roman;Times;serif" w:hAnsi="Times New Roman;Times;serif"/>
          <w:i/>
          <w:sz w:val="20"/>
        </w:rPr>
        <w:t xml:space="preserve">General Hosting </w:t>
      </w:r>
      <w:r>
        <w:rPr>
          <w:rFonts w:ascii="Times New Roman;Times;serif" w:hAnsi="Times New Roman;Times;serif"/>
          <w:sz w:val="20"/>
        </w:rPr>
        <w:t xml:space="preserve">and </w:t>
      </w:r>
      <w:r>
        <w:rPr>
          <w:rFonts w:ascii="Times New Roman;Times;serif" w:hAnsi="Times New Roman;Times;serif"/>
          <w:i/>
          <w:sz w:val="20"/>
        </w:rPr>
        <w:t>Membership Hosting</w:t>
      </w:r>
      <w:r>
        <w:rPr>
          <w:rFonts w:ascii="Times New Roman;Times;serif" w:hAnsi="Times New Roman;Times;serif"/>
          <w:sz w:val="20"/>
        </w:rPr>
        <w:t>. We generally do not hold cryptocurrencies obtained through business operation, including mining and otherwise, and promptly convert them into fiat currency. The cryptocurrencies held by us as of December 31, 2020, 2021 and 2022 were US$9.6 million, US$6.2 million and US$2.2 million, respectively and accounted for 5.2%, 1.6% and 0.7% of our total revenue in the corresponding periods. The table below shows the type and amount of digital assets held as of the end of each year:</w:t>
      </w:r>
    </w:p>
    <w:tbl>
      <w:tblPr>
        <w:tblW w:w="6148" w:type="dxa"/>
        <w:jc w:val="left"/>
        <w:tblInd w:w="0" w:type="dxa"/>
        <w:tblCellMar>
          <w:top w:w="0" w:type="dxa"/>
          <w:left w:w="0" w:type="dxa"/>
          <w:bottom w:w="0" w:type="dxa"/>
          <w:right w:w="0" w:type="dxa"/>
        </w:tblCellMar>
      </w:tblPr>
      <w:tblGrid>
        <w:gridCol w:w="661"/>
        <w:gridCol w:w="326"/>
        <w:gridCol w:w="571"/>
        <w:gridCol w:w="326"/>
        <w:gridCol w:w="571"/>
        <w:gridCol w:w="326"/>
        <w:gridCol w:w="571"/>
        <w:gridCol w:w="326"/>
        <w:gridCol w:w="571"/>
        <w:gridCol w:w="326"/>
        <w:gridCol w:w="571"/>
        <w:gridCol w:w="326"/>
        <w:gridCol w:w="676"/>
      </w:tblGrid>
      <w:tr>
        <w:trPr/>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19735" cy="175260"/>
                      <wp:effectExtent l="0" t="0" r="0" b="0"/>
                      <wp:wrapNone/>
                      <wp:docPr id="23" name="Frame23"/>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62585" cy="175260"/>
                      <wp:effectExtent l="0" t="0" r="0" b="0"/>
                      <wp:wrapNone/>
                      <wp:docPr id="25" name="Frame2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7" name="Frame2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62585" cy="175260"/>
                      <wp:effectExtent l="0" t="0" r="0" b="0"/>
                      <wp:wrapNone/>
                      <wp:docPr id="29" name="Frame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1" name="Frame3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3" name="Frame3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29260" cy="175260"/>
                      <wp:effectExtent l="0" t="0" r="0" b="0"/>
                      <wp:wrapNone/>
                      <wp:docPr id="35" name="Frame3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6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4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r>
      <w:tr>
        <w:trPr/>
        <w:tc>
          <w:tcPr>
            <w:tcW w:w="6148"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61" w:type="dxa"/>
            <w:gridSpan w:val="11"/>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except for percentages)</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BTC</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ETH</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USDT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BCH</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LTC</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BSV</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ZEC</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DASH</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DCR</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DOGE</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ETC</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ETN</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BCHA</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CKB</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BTM</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XCH</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ELA</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NMC</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9,582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6,187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2,175</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Less than US$500 but not nil</w:t>
        <w:b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generally use service provided by Matrix Finance and Technologies Holding Group and its subsidiaries (“Matrixport Group”) for cryptocurrencies custody purpose. Please see the section entitled    “— Our Cryptocurrencies Storage and Custodial Practices” below for more details on the related procedures in this regard.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June 30, 2021, we did not leverage cryptocurrencies that we held, including Bitcoin, to generate additional income, through lending, hedging or otherwise, nor did we convert our fiat currencies into cryptocurrencies for the same purposes. In the second half of 2021, we explored new options, such as short-term cryptocurrency lending and purchase of short-term wealth management products using cryptocurrencies converted from our fiat currencies, in addition to direct deposits of fiat currencies at fixed rates, in order to optimize our cash management cycle and generate a higher return on cash not otherwise used in our operating activities. Specifically, during the second half of 2021, we lent 30 million USDC, which we converted from our fiat currencies, to Matrixport Group at a fixed annual interest rate of 8.25% and received approximately US$0.7 million interest income; we also converted our fiat currencies into 30 million USDT and purchased a short-term wealth management product in the same amount from Matrixport Group. The wealth management product was an unsecured USDT fund offered by Matrixport Group at variable rates of return, and we received approximately US$0.7 million investment income from such product in the second half of 2021. Both the loan and the wealth management product were fully redeemed and collected by the end of 2021. In addition, because we generally do not hold cryptocurrencies, while the incomes we received were initially in cryptocurrencies, they were promptly converted into fiat currencies following receipt. During the year ended December 31, 2022, we lent loans in a total amount of approximately US$150 million to Matrixport Group and received approximately US$1.5 million interest income. We also purchased wealth management products in a total amount of approximately US$150.0 million from Matrixport Group and received approximately US$0.3 million in return. Both the loans and the wealth management products were fully collected and redeemed as of December 31, 2022. To date, we have not experienced, either directly or indirectly, prohibitions from redeeming or withdrawing crypto assets. All of our cryptocurrency loans and cryptocurrency wealth management products had been fully redeemed by December 31, 2022, and we do not anticipate to actively participate in such activities in the foreseeable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annual report, we do not have any outstanding cryptocurrency lending to Matrixport Group or any outstanding wealth management product purchased from Matrixport Group or otherwise. All lending or wealth management products previously purchased from Matrixport Group had been fully collected or redeemed by December 31, 2022. In light of recent concerns over the lack of regulations with regards to digital asset based products in general, we do not anticipate entering into any digital asset based lending or wealth management products with Matrixport Group or otherwise in the foreseeable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open to more options to generate additional income by leveraging our cryptocurrencies and fiat currencies in the future; however, we prioritize our operating activities in terms of cash usage and will ensure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annual report. We do not anticipate to engage in crypto lending or investing activities in the foreseeable future. We monitor our investments closely and limit our exposure to the investment risk by including in our operation strategy the requirements to invest only in robust wealth management products.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evaluate each digital asset in our portfolio, or that we propose to hold or acquire in the future, to determine whether it would likely be considered a security as defined in Section 2(a)(1) of the Securities Act and consequences thereof, in consultation with outside counsel, as applicable at the time. We will base our analysis on relevant case law, applying the frameworks established by the U.S. Supreme Court and taking into consideration relevant guidance by the SEC and its staff, including the SEC’s “Framework for ‘Investment Contract’ Analysis of Digital Assets” issued by the Strategic Hub for Innovation and Financial Technology. Prior to holding or acquiring any digital assets, we would undertake customary due diligence regarding the digital asset in order to gather facts necessary to make such a determination.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such framework adopted by us to determine whether certain digital assets are “securities” involves risk-based judgements by us, is not based on a legal standard or determination binding on any regulatory body, and therefore is inherently associated with a number of risks. As of the date of this annual report, with the exception of certain centrally issued digital assets that have received “no-action” letters from the SEC staff, Bitcoin and Ethereum are the only digital assets which senior officials at the SEC have publicly stated are unlikely to be considered securities. However, such statements are not official policy statements by the SEC and reflect only the speakers’ views, which are not binding on the SEC or any other agency or court and cannot be generalized to any other digital asset. It is possible that a change in the governing administration or the appointment of new SEC commissioners could substantially impact the views of the SEC and its staff.</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Thus, a particular digital asset’s status as a “security” in any relevant jurisdiction is subject to a high degree of uncertainty and if a regulator disagrees with our characterization of a digital asset, we may be subject to regulatory scrutiny, investigations, fines, and other penalties, which may adversely affect our business, operating results and financial condition. 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other cryptocurrencies among owners and requiring registration of trading platforms as “exchanges.” It will then likely become difficult or impossible for the digital asset to be traded, cleared or custodied in the United States through the same channels used by non- security digital assets, which in addition to materially and adversely affecting the trading value of the digital asset is likely to cause substantial volatility and significantly impact its liquidity and market participants’ ability to convert the digital asset into U.S. dollars.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a more comprehensive discussion of the relevant risks, please see the sections entitled “Item 3. Key Information — D. Risk Factors — Risks Related to Cryptocurrencies — There is no one unifying principle governing the regulatory status of cryptocurrencies nor whether cryptocurrencies are securities in any particular context. Regulatory changes or actions in one or more countries may alter the nature of an investment in us or restrict the use of cryptocurrencies, such as Bitcoins, in a manner that adversely affects our business, prospects or operations” and “Item 3. Key Information — D. Risk Factors — Risks Related to Cryptocurrencies — If we were deemed an ‘investment company’ under the Investment Company Act of 1940, as amended, applicable restrictions could make it impractical for us to continue our business as contemplated and could have a material adverse effect on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Cryptocurrencies Storage and Custodial Practices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2020, 2021 and 2022, substantially all of our cryptocurrencies were held in custody by Matrixport Group and our disposal of cryptocurrencies, at spot price on the date of disposal, was primarily to Matrixport Group, a related party. Following our separation from BitMain Technologies Holding Company (collectively with its subsidiaries, “Bitmain”), we entered into two custody agreements with Matrixport Group on February 10, 2021 through our subsidiaries, pursuant to which we appointed Matrixport Group to (i) establish a custody account for the deposit of cryptocurrencies to be held by Matrixport Group on our behalf, and (ii) act as the custodian of the cryptocurrencies that are delivered to the designated blockchain address under our custody accounts. For more information, please see the section entitled “Item 3. Key Information — D. Risk Factors — We may not have adequate sources of recovery if the cryptocurrencies held it us are lost, stolen or destroyed due to third-party cryptocurrencies custodial services or if we cannot redeem or withdraw its cryptocurrencies invested in crypto lending or investing activities. Such incidents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custody accounts in Matrixport Group are protected by username, password, and hardware tokens. We are able to view the assets in the custody account and relevant transfers via Matrixport Group’s custody system. We are able to receive, withdraw and dispose of cryptocurrencies with the custody account. Each withdrawal request is subject to verification by a person designated by us, and if withdrawal is up to certain limit, to additional verification procedure applied by Matrixport Group, including calling a separately designated person or requesting additional written confirmation. We note that Matrixport Group offers a robust security infrastructure designed to safeguard its custody clients from crypto fraud. The generation and storage of, and the transaction signing by, the private keys are all under encryption in hardware security modules (HSMs) that provide tamper evidence, tamper resistance and tamper responsiveness features to safeguard the private keys and make sure no staff of Matrixport Group or anyone can have access to plain text of private keys. In extreme cases, private keys can be recovered by Matrixport Group’s disaster recovery measure. Private keys have been sharding into eight pieces that will be stored in an encrypted hard disk which will then be kept in physical safe deposit boxes in different banks. These sharding pieces are accessible only to certain qualified employees of Matrixport Group, who must obtain prior permission and must follow “Segregation of Duty and Least Knowledge Principle” under which such employees have right to recover the private keys but no right to trigger the withdrawal function from customers’ designated accounts. All crypto transactions will be monitored by Matrixport Group’s central security system. If an unusual transaction is identified, an alert will be issued to the relevant customer in real time for transaction verification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All withdrawal and transfer of assets shall be permitted by applicable laws and regulations and Matrixport Group’s internal policies and procedures. Matrixport Group is obligated to keep and maintain, or cause to be kept, accurate books and records with respect to any custody account and assets in accordance with applicable law. Statements of assets, along with a ledger of receipts and disbursements of assets is available to us via Matrixport Group’s custody system. Under the custody agreements, we are obligated to pay to Matrixport custody fees as a percentage of the value of the cryptocurrencies in U.S. Dollars under custody, monthly management fees as negotiated, and withdrawal fees if applicable. We incurred approximately US$0.3 million and US$0.4 million service fees, respectively, including primarily custody fees, to Matrixport Group for the years ended December 31, 2021 and 2022, while the service fees we paid to Matrixport Group for the year ended December 31, 2020 were immaterial.</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Proprietary Mining Datacenters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have built and currently operate three proprietary mining datacenters in the United States and two in Norway with an aggregate electricity capacity of 795MW in use as of March 31, 2023. We have initiated the expansion of our existing mining datacenters and expect to achieve access to a total electricity capacity of 1,524MW thereafter. The locations of our mining datacenters in use, under construction and “in the pipeline,” as of March 31, 2023, are illustrated in the diagram below.</w:t>
      </w:r>
    </w:p>
    <w:p>
      <w:pPr>
        <w:pStyle w:val="TextBody"/>
        <w:spacing w:before="0" w:after="240"/>
        <w:ind w:left="0" w:right="0" w:firstLine="360"/>
        <w:jc w:val="both"/>
        <w:rPr/>
      </w:pPr>
      <w:r>
        <w:rPr/>
        <w:t>​</w:t>
      </w:r>
    </w:p>
    <w:p>
      <w:pPr>
        <w:pStyle w:val="TextBody"/>
        <w:spacing w:before="0" w:after="10"/>
        <w:ind w:left="0" w:right="0" w:hanging="0"/>
        <w:jc w:val="center"/>
        <w:rPr/>
      </w:pPr>
      <w:r>
        <w:rPr/>
        <w:drawing>
          <wp:inline distT="0" distB="0" distL="0" distR="0">
            <wp:extent cx="5942965" cy="281876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5942965" cy="2818765"/>
                    </a:xfrm>
                    <a:prstGeom prst="rect">
                      <a:avLst/>
                    </a:prstGeom>
                  </pic:spPr>
                </pic:pic>
              </a:graphicData>
            </a:graphic>
          </wp:inline>
        </w:drawing>
      </w:r>
    </w:p>
    <w:tbl>
      <w:tblPr>
        <w:tblW w:w="5807" w:type="dxa"/>
        <w:jc w:val="left"/>
        <w:tblInd w:w="0" w:type="dxa"/>
        <w:tblCellMar>
          <w:top w:w="0" w:type="dxa"/>
          <w:left w:w="0" w:type="dxa"/>
          <w:bottom w:w="0" w:type="dxa"/>
          <w:right w:w="0" w:type="dxa"/>
        </w:tblCellMar>
      </w:tblPr>
      <w:tblGrid>
        <w:gridCol w:w="331"/>
        <w:gridCol w:w="5476"/>
      </w:tblGrid>
      <w:tr>
        <w:trPr/>
        <w:tc>
          <w:tcPr>
            <w:tcW w:w="33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(1)</w:t>
            </w:r>
          </w:p>
        </w:tc>
        <w:tc>
          <w:tcPr>
            <w:tcW w:w="5476"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As of March 31, 2023, 179MW capacity under construction to be completed</w:t>
            </w:r>
          </w:p>
        </w:tc>
      </w:tr>
    </w:tbl>
    <w:tbl>
      <w:tblPr>
        <w:tblW w:w="2027" w:type="dxa"/>
        <w:jc w:val="left"/>
        <w:tblInd w:w="0" w:type="dxa"/>
        <w:tblCellMar>
          <w:top w:w="0" w:type="dxa"/>
          <w:left w:w="0" w:type="dxa"/>
          <w:bottom w:w="0" w:type="dxa"/>
          <w:right w:w="0" w:type="dxa"/>
        </w:tblCellMar>
      </w:tblPr>
      <w:tblGrid>
        <w:gridCol w:w="331"/>
        <w:gridCol w:w="1696"/>
      </w:tblGrid>
      <w:tr>
        <w:trPr/>
        <w:tc>
          <w:tcPr>
            <w:tcW w:w="33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(2)</w:t>
            </w:r>
          </w:p>
        </w:tc>
        <w:tc>
          <w:tcPr>
            <w:tcW w:w="1696"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As of March 31, 2023</w:t>
            </w:r>
          </w:p>
        </w:tc>
      </w:tr>
    </w:tbl>
    <w:tbl>
      <w:tblPr>
        <w:tblW w:w="8207" w:type="dxa"/>
        <w:jc w:val="left"/>
        <w:tblInd w:w="0" w:type="dxa"/>
        <w:tblCellMar>
          <w:top w:w="0" w:type="dxa"/>
          <w:left w:w="0" w:type="dxa"/>
          <w:bottom w:w="0" w:type="dxa"/>
          <w:right w:w="0" w:type="dxa"/>
        </w:tblCellMar>
      </w:tblPr>
      <w:tblGrid>
        <w:gridCol w:w="331"/>
        <w:gridCol w:w="7876"/>
      </w:tblGrid>
      <w:tr>
        <w:trPr/>
        <w:tc>
          <w:tcPr>
            <w:tcW w:w="33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(3)</w:t>
            </w:r>
          </w:p>
        </w:tc>
        <w:tc>
          <w:tcPr>
            <w:tcW w:w="7876" w:type="dxa"/>
            <w:tcBorders/>
            <w:shd w:fill="auto" w:val="clear"/>
            <w:vAlign w:val="center"/>
          </w:tcPr>
          <w:p>
            <w:pPr>
              <w:pStyle w:val="TableContents"/>
              <w:spacing w:before="0" w:after="240"/>
              <w:rPr/>
            </w:pPr>
            <w:r>
              <w:rPr/>
              <w:t>“</w:t>
            </w:r>
            <w:r>
              <w:rPr>
                <w:rFonts w:ascii="Times New Roman;Times;serif" w:hAnsi="Times New Roman;Times;serif"/>
                <w:sz w:val="16"/>
              </w:rPr>
              <w:t>In the pipeline” includes 550MW power supply contracted or negotiated but not yet under active construction</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i/>
                <w:sz w:val="20"/>
              </w:rPr>
              <w:t xml:space="preserve">Texas Mining Datacenter. </w:t>
            </w:r>
            <w:r>
              <w:rPr>
                <w:rFonts w:ascii="Times New Roman;Times;serif" w:hAnsi="Times New Roman;Times;serif"/>
                <w:sz w:val="20"/>
              </w:rPr>
              <w:t>Our mining datacenter in Rockdale, Texas became operational in February 2019 and had 563MW electricity capacity in use and 179MW electricity capacity under construction as of March 31, 2023.</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i/>
                <w:sz w:val="20"/>
              </w:rPr>
              <w:t xml:space="preserve">Norway Mining Datacenters. </w:t>
            </w:r>
            <w:r>
              <w:rPr>
                <w:rFonts w:ascii="Times New Roman;Times;serif" w:hAnsi="Times New Roman;Times;serif"/>
                <w:sz w:val="20"/>
              </w:rPr>
              <w:t>Our mining datacenters in Fræna municipality (Molde mining datacenter) and Tydal municipality (Tydal mining datacenter), Norway became operational in December 2019 and had 134MW electricity capacity in use as of March 31, 2023. We plan to add additional 175MW of electricity capacity from the expansion of facilities of the mining datacenter in Tydal, Norway.</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i/>
                <w:sz w:val="20"/>
              </w:rPr>
              <w:t xml:space="preserve">Tennessee Mining Datacenter. </w:t>
            </w:r>
            <w:r>
              <w:rPr>
                <w:rFonts w:ascii="Times New Roman;Times;serif" w:hAnsi="Times New Roman;Times;serif"/>
                <w:sz w:val="20"/>
              </w:rPr>
              <w:t>Our mining datacenter in Knoxville, Tennessee became operational in May 2020 and had 86MW electricity capacity in use as of March 31, 2023.</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b/>
                <w:i/>
                <w:sz w:val="20"/>
              </w:rPr>
              <w:t xml:space="preserve">Washington Mining Datacenter. </w:t>
            </w:r>
            <w:r>
              <w:rPr>
                <w:rFonts w:ascii="Times New Roman;Times;serif" w:hAnsi="Times New Roman;Times;serif"/>
                <w:sz w:val="20"/>
              </w:rPr>
              <w:t>Our mining datacenter in Pangborn, Washington became operational in May 2018 and had 13MW electricity capacity in use as of March 31, 2023.</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accumulated knowledge and expertise in the global landscape of electric power supply, which enables us to select prime locations to construct mining datacenters. Currently, we expect to open additional mining datacenters in Ohio and Bhutan and are negotiating power supply for these sites, as illustrated in the diagram above. In particular, we expect to generate 100MW out of the 550MW power supply “in the pipeline” from Bhutan, where the construction of mining datacenter is expected to begin in the second quarter of 2023 and complete in the third quarter of 2023. We are also exploring other sites for constructions of our mining datacenters with an initial focus on North America, Northern Europe, Central Asia and Southeast Asia.</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Agreements Related to Our Proprietary Mining Datacenters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Lease Agreement for the Mining Datacenter in Rockdale, Texas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6, 2018, Dory Creek, LLC, our subsidiary (formerly as Bitmain Inc.’s subsidiary), entered into the Lease Agreement with Alcoa USA Corp. (“Alcoa”), as amended by the First Amendment to Lease dated October 18, 2018, the Second Amendment to Lease dated May 1, 2019, the Third Amendment to Lease dated May 11, 2021, the Fourth Amendment to the Lease dated May 11, 2021, the Fifth Amendment to Lease dated September 15, 2021 and the Sixth Amendment to Lease dated October 25, 2021 (the “Texas Lease Agreement”), pursuant to which we lease land, certain buildings and improvements on the land, a certain portion of Alcoa’s power delivery network (“PUN”) and the non-exclusive right to use certain common areas in Rockdale, Texas, for the operation of a blockchain data processing software and hardware center (“Data Center”) as well as the office use and a technology repair facility related to the Data Center. Alcoa sells and conveys to us a 100% ownership interest in a certain PUN power circuit and the associated downstream components, subject to certain power delivery restrictions. Upon termination of the Texas Lease Agreement, our interest and ownership in the PUN will revert to Alcoa. We have an option to extend the term of this lease for two successive periods of five years (each such period an “Extension Term”). If applicable, on each January 1 during the Extension Term, the annual fixed rent shall increase by the greater of 2.5% or the percentage of the change in the CPI, not to exceed 5% in any single year between the first month and the eleventh month during the previous year.</w:t>
      </w:r>
    </w:p>
    <w:p>
      <w:pPr>
        <w:pStyle w:val="TextBody"/>
        <w:spacing w:before="0" w:after="120"/>
        <w:ind w:left="0" w:right="0" w:firstLine="360"/>
        <w:jc w:val="both"/>
        <w:rPr>
          <w:rFonts w:ascii="Times New Roman;Times;serif" w:hAnsi="Times New Roman;Times;serif"/>
          <w:sz w:val="20"/>
        </w:rPr>
      </w:pPr>
      <w:r>
        <w:rPr>
          <w:rFonts w:ascii="Times New Roman;Times;serif" w:hAnsi="Times New Roman;Times;serif"/>
          <w:sz w:val="20"/>
        </w:rPr>
        <w:t>The Texas Lease Agreement was subsequently assigned by Alcoa to SLR Property I, LP (“SLR”), with whom Dory Creek, LLC entered into the Seventh Amendment to Lease, pursuant to which we lease certain buildings and access areas for storage/warehouse use (the “Storage Premises”, the premises under the Texas Lease Agreement except the Storage Premises, the “Remainder Premises”). Our lease with the Storage Premises (the “Storage Premises Lease”) automatically expires on the earlier of December 31, 2025 or the date that the Remainder Premises Lease expires or terminates (the “Storage Premises Initial Term”). To the extent the Remainder Premises Lease remains in effect beyond the expiration of the Storage Premises Initial Term, we have the option to extend the Storage Premises Lease for one successive renewal period (the “First Storage Premises Renewal Term”) till the earlier of December 31, 2030 or the date that the Remainder Premises Lease expires or terminates. To the extent the Remainder Premises Lease remains in effect beyond the expiration of the First Storage Premises Renewal Term, we have the option to extend the Storage Premises Lease for another successive renewal period till the earlier of December 31, 2035 or the date that the Remainder Premises Lease expires or terminates.</w:t>
      </w:r>
    </w:p>
    <w:p>
      <w:pPr>
        <w:pStyle w:val="TextBody"/>
        <w:pBdr/>
        <w:spacing w:before="0" w:after="120"/>
        <w:ind w:left="0" w:right="0" w:hanging="360"/>
        <w:jc w:val="both"/>
        <w:rPr>
          <w:rFonts w:ascii="Times New Roman;Times;serif" w:hAnsi="Times New Roman;Times;serif"/>
          <w:i/>
          <w:sz w:val="20"/>
        </w:rPr>
      </w:pPr>
      <w:r>
        <w:rPr>
          <w:rFonts w:ascii="Times New Roman;Times;serif" w:hAnsi="Times New Roman;Times;serif"/>
          <w:i/>
          <w:sz w:val="20"/>
        </w:rPr>
        <w:t>Land Lease Agreement for the Molde Mining Datacenter in Fræna Municipality, Norway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15, 2019, we entered into the Land Lease Agreement with Troll Housing AS through Norway Hash Technologies AS, our subsidiary, as amended by Addendum No. 1 to the Land Lease Agreement, dated December 6, 2020 (the “Molde Lease Addendum No. 1”), Addendum No. 2 to the Land Lease Agreement, dated March 22, 2021 (the “Molde Lease Addendum No. 2”), and Addendum No. 3 to the Land Lease Agreement, dated March 22, 2021 (the “Molde Lease Addendum No. 1”) (collectively, the “Molde Lease Agreement”), pursuant to which we lease land located at Klempertåsvegen 1, 6440 Elnesvågen, Norway to support our Molde mining datacenter with 67MW capacity. For the existing 30MW specified in Addendum 1, land rent is calculated based on the installed capacity of datacenter, with a unit price of NOK0.01 per kW prior to January 1, 2021 and NOK0.02 per kW starting from January 1, 2021. For the subsequent expansion of 37MW specified in Molde Lease Addendum No. 2 and the future potential expansions referred to in Molde Lease Addendum No. 3, the land rent is invoiced monthly and comprises two components, Monthly Rent 1 and Monthly Rent 2. Monthly Rent 1 is calculated based on datacenter capacity, with a fixed unit price of NOK0.0060 per kWh. Monthly Rent 2 is calculated using floating unit price, being adjusted downwards as total energy use, from the total capacity of Molde and Tydal mining datacenters excluding the existing 30MW specified in Molde Lease Addendum No. 1, goes up. The floating unit price for Monthly Rent 2 is NOK0.014 per kWh, NOK0.012 per kWh, NOK0.008 per kWh and NOK0.004 per kWh when energy used from datacenter capacity is high than 30MW and lower than 107MW, higher than or equal to 107MW and lower than 247MW, higher than or equal to 247MW and lower than 427MW, and higher than and equal to 427MW, respectively. The land lease for the corresponding expansion will be invoiced upon the relevant mining datacenter expansions are finished and delivered to us, the expansion passes the inspection before power-on and the power grid company completes the corresponding 132-22kV transformer upgrade. The term of the Molde Lease Agreement is from December 1, 2019 to December 31, 2029, renewable within the term.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 xml:space="preserve">Land Lease Agreement for the Tydal Mining Datacenter in Tydal Municipality, Norway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8, 2021, we entered into the Land Lease Agreement with Tydal Datacenter AS through Norway Hash Technologies AS, our subsidiary (the “Tydal Lease Agreement”), pursuant to which we lease land located at Kirkvollen Industriområde, 7590 Tydal, Norway to support our Tydal mining datacenter. The land lease will be invoiced upon the relevant mining datacenter expansions are finished and delivered to us, the expansion passes the inspection before power-on and the power grid company completes the corresponding 132-22kV transformer upgrade. The land rent comprises two components, Monthly Rent 1 and Monthly Rent 2. Monthly Rent 1 is calculated based on datacenter capacity, with a fixed unit price of NOK0.0060 per kWh. Monthly Rent 2 is calculated according to Molde Lease Addendum No. 3. See the section entitled “— Land Lease Agreement for the Molde Mining Datacenter in Fræna Municipality, Norway” above. The term of the Tydal Lease Agreement is from April 1, 2021 to March 31, 2031, renewable within the term.</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Commercial Purchase and Sale Agreement for the Mining Datacenter in Knoxville, Tennessee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26, 2018, Bitmain Inc. entered into the Commercial Purchase and Sale Agreement with Kemet Foil Manufacturing LLC, FKA Cornell Dublilier pursuant to which it purchased from Kemet Foil Manufacturing LLC, FKA Cornell Dublilier a tract of land of approximately 9.88 acres improved with a 77,678 square foot industrial building together with all fixtures, landscaping, improvements, and appurtenances, located at 5101 S. National Drive, Knoxville, Tennessee, 37914, for a consideration of US$3.6 million. On March 20, 2018, Bitmain Inc. transferred a quitclaim deed of the afore-mentioned track of land to Carpenter Creek LLC, our subsidiary, in consideration of the sum of one dollar and other good and valuable considerations.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Vacant Land Purchase and Sale Agreement for the Mining Datacenter in Pangborn, Washington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3, 2017, we entered into the Vacant Land Purchase and Sale Agreement with Blackhawk Development Inc through Ant Creek, LLC, our subsidiary, pursuant to which we purchased from Blackhawk Development Inc a tract of land of 3 acres located at BLA of Parent Parcel 93700000002, East Wenatchee, WA 98802 for a consideration of US$0.4 million. We use the land to support the operation of our mining datacenter in Pangborn, Washington.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Energy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built, and will continue to make significant investment in building strong partnerships with local electricity experts and power enterprises. Through these partnerships, we reached an average electricity cost of our proprietary mining datacenters to US$50/MWh for the year ended December 31, 2022 and US$36/MWh for the three months ended March 31, 2023. We entered into electric power supply agreements with electricity suppliers to secure low electricity costs for our mining datacenters in Rockdale, Texas and in Norway.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consider environmental protection vitally important and have implemented measures in the operation of our business, in particular mining datacenters, to ensure our compliance with all applicable laws and regulations in the United States, Norway and other applicable jurisdictions. Our hash rate expansion strategy is energy conscious. We constantly monitor the operation of our mining machines and replace old mining machines models with new ones periodically to optimize energy efficiency. As a result, we successfully lowered our average energy consumption from 47.3j/T as of December 31, 2020 to 39.2j/T as of December 31, 2021, to 36.5j/T as of December 31, 2022 and further to 34.5j/T as of March 31, 2023. Through years of experience in and deep insight into the global power supply market, we are able to discover outstanding mining construction resources that are both cost-efficient and environmentally friendly.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stick with high environmental, social and governance (ESG) standards and strive to constantly increase the ratio of power supply generated from carbon-free energy. The ratio of our carbon-free power supply reached approximately 62% as of March 31, 2023, and is expected to be remain at around 59% upon completing the construction of all mining datacenters “in the pipeline”. The ratio of our carbon-free power supply, as used herein, represents the weighted average ratio of carbon-free power supply at our datacenters, weighting in the respective electricity capacity at each datacenter. To be more specific, it is calculated by dividing (x) the sum of ratio of carbon-free power supply multiple by electricity capacity at each of our datacenters, by (y) the total electricity capacity contributed by all our datacenters.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latest available statistics regarding energy structure of power supply from respective local authorities or suppliers as of March 31, 2023, (i) the power supply in our mining datacenter in Pangborn, Washington was 100% carbon-free, almost entirely supported by hydroelectric resources, (ii) the power supply in our mining datacenters in Molde and Tydal, Norway was 100% carbon-free, primarily supported by wind and hydroelectric resources, (iii) the power supply in our mining datacenter in Rockdale, Texas was approximately 52% carbon-free, supported by clean energy resources such as wind, nuclear, solar and hydroelectric, as well as traditional energy resources such as gas and coal, and (iv) the power supply in our mining datacenter in Knoxville, Tennessee was approximately 60% carbon-free, supported by clean energy resources, such as unclear, hydroelectric and solar, as well as traditional energy resources such as clean- burning natural gas units. To further improve the ratio of our carbon-free power supply, we intend to engage a carbon offset strategy consultant to formulate a carbon emissions offsetting plan for our mining datacenters in Texas.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attracted and retained our customers by offering high-quality products and services, without heavily relying on online or offline advertising campaigns to promote the sales of our products and services. The quality of our products and services is demonstrated by the 100% continuous hash rate online rate and minimum customer complaints.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Technologies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stay at the forefront of technology development and have built prominent research and development capabilities. We benefit from our continuous investment in research and development as well as our strong and expanding research and development talent pool. Our core technical team has an average of over eight years of experience in major market players in the cryptocurrency industry. We have obtained patents to support key technologies underpinning our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technology capabilities drive the differentiation of our business. In particular, the following technologies enable us to constantly improve our proprietary mining efficiency, offer differentiated and quality products and services, and minimize impacts to the environment.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Hash rate slicing. </w:t>
            </w:r>
            <w:r>
              <w:rPr>
                <w:rFonts w:ascii="Times New Roman;Times;serif" w:hAnsi="Times New Roman;Times;serif"/>
                <w:b w:val="false"/>
                <w:i w:val="false"/>
                <w:caps w:val="false"/>
                <w:smallCaps w:val="false"/>
                <w:sz w:val="20"/>
              </w:rPr>
              <w:t xml:space="preserve">We supply our customers the subscribed amount of hash rate by first dividing hash rate into “time slices,” each encompasses a certain number of calculations over a period of time. Through hash rate slicing, hash rate is divided into “time slices” by algorithm instead of by manual intervention and then submitted to multiple mining pool accounts to support multiple users. Our ability to generate a minimum hash rate unit of 1TH/s enables us to adjust hash rate allocation accurately and dynamically, and optimize operating metrics automatically in order to minimize fluctuations in terms of quantum in hash rate supply under </w:t>
            </w:r>
            <w:r>
              <w:rPr>
                <w:rFonts w:ascii="Times New Roman;Times;serif" w:hAnsi="Times New Roman;Times;serif"/>
                <w:b w:val="false"/>
                <w:i/>
                <w:sz w:val="20"/>
              </w:rPr>
              <w:t>Cloud Hash Rate</w:t>
            </w:r>
            <w:r>
              <w:rPr>
                <w:rFonts w:ascii="Times New Roman;Times;serif" w:hAnsi="Times New Roman;Times;serif"/>
                <w:b w:val="false"/>
                <w:i w:val="false"/>
                <w:caps w:val="false"/>
                <w:smallCaps w:val="false"/>
                <w:sz w:val="20"/>
              </w:rPr>
              <w: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Hash rate scheduling. </w:t>
            </w:r>
            <w:r>
              <w:rPr>
                <w:rFonts w:ascii="Times New Roman;Times;serif" w:hAnsi="Times New Roman;Times;serif"/>
                <w:b w:val="false"/>
                <w:i w:val="false"/>
                <w:caps w:val="false"/>
                <w:smallCaps w:val="false"/>
                <w:sz w:val="20"/>
              </w:rPr>
              <w:t xml:space="preserve">We are able to achieve redeployment of hash rate across different mining machines through hash rate scheduling. When a single machine fails, hash rate from other mining machines can be instantly dispatched to ensure timing stability of hash rate supply. As a result, we are able to maintain a hash rate online rate of 100% under </w:t>
            </w:r>
            <w:r>
              <w:rPr>
                <w:rFonts w:ascii="Times New Roman;Times;serif" w:hAnsi="Times New Roman;Times;serif"/>
                <w:b w:val="false"/>
                <w:i/>
                <w:sz w:val="20"/>
              </w:rPr>
              <w:t>Cloud Hash Rate</w:t>
            </w:r>
            <w:r>
              <w:rPr>
                <w:rFonts w:ascii="Times New Roman;Times;serif" w:hAnsi="Times New Roman;Times;serif"/>
                <w:b w:val="false"/>
                <w:i w:val="false"/>
                <w:caps w:val="false"/>
                <w:smallCaps w:val="false"/>
                <w:sz w:val="20"/>
              </w:rPr>
              <w: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Real-time monitoring. </w:t>
            </w:r>
            <w:r>
              <w:rPr>
                <w:rFonts w:ascii="Times New Roman;Times;serif" w:hAnsi="Times New Roman;Times;serif"/>
                <w:b w:val="false"/>
                <w:i/>
                <w:sz w:val="20"/>
              </w:rPr>
              <w:t xml:space="preserve">Minerplus </w:t>
            </w:r>
            <w:r>
              <w:rPr>
                <w:rFonts w:ascii="Times New Roman;Times;serif" w:hAnsi="Times New Roman;Times;serif"/>
                <w:b w:val="false"/>
                <w:i w:val="false"/>
                <w:caps w:val="false"/>
                <w:smallCaps w:val="false"/>
                <w:sz w:val="20"/>
              </w:rPr>
              <w:t xml:space="preserve">supports efficient and constant monitoring, automated operation and maintenance as well as data analysis for mining machines of different models under different brands, located in mining datacenters of different sizes in different locations. We have developed a highly efficient monitoring model adopting a procedure of </w:t>
            </w:r>
            <w:r>
              <w:rPr>
                <w:rFonts w:ascii="Times New Roman;Times;serif" w:hAnsi="Times New Roman;Times;serif"/>
                <w:b w:val="false"/>
                <w:i/>
                <w:sz w:val="20"/>
              </w:rPr>
              <w:t>prediction — feature analysis — data processing — reverse operation</w:t>
            </w:r>
            <w:r>
              <w:rPr>
                <w:rFonts w:ascii="Times New Roman;Times;serif" w:hAnsi="Times New Roman;Times;serif"/>
                <w:b w:val="false"/>
                <w:i w:val="false"/>
                <w:caps w:val="false"/>
                <w:smallCaps w:val="false"/>
                <w:sz w:val="20"/>
              </w:rPr>
              <w:t>, which is able to accurately identify and quickly scan the monitored objects, and return operating data of the mining machine in real-time.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Clean energy. </w:t>
            </w:r>
            <w:r>
              <w:rPr>
                <w:rFonts w:ascii="Times New Roman;Times;serif" w:hAnsi="Times New Roman;Times;serif"/>
                <w:b w:val="false"/>
                <w:i w:val="false"/>
                <w:caps w:val="false"/>
                <w:smallCaps w:val="false"/>
                <w:sz w:val="20"/>
              </w:rPr>
              <w:t>We have taken various measures to increase the ratio of clean energy in support of the operations of our mining datacenters. As of March 31, 2023, our non-carbon energy supply ratio was approximately 62%. Our research and development team has started the feasibility assessment of the use of solar power to support our mining datacenters. We have also spent considerable efforts in minimizing the impact on the local environment. For example, instead of building new plants from the ground, we renovated abandoned or deserted plants on sites when constructing our mining datacenters in Tennessee and Texas. See the section entitled “— Energy” above for more details.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our proprietary mining business, we compete with mining operations throughout the world. We compete to solve new blocks on the basis of our total number of mining machines, the degree of mining difficulty and the efficiency of our mining. We also compete to acquire new mining machines, to obtain access to facilities and prime location of mining operations, to electricity, to develop or acquire new technologies and to raise capital.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our hash rate sharing business line, we compete on both the quantity and the quality of our hash rate supply, which depends on our mining datacenter resources, the total number of our mining machines, our ability to involve third-party hash rate suppliers and our access to technologies to maintain hash rate supply stability. While we face competition from hash rate suppliers like FROGBT, we also seek cooperation with these third-party hash rate suppliers and build synergy-generating relationships by introducing them to our </w:t>
      </w:r>
      <w:r>
        <w:rPr>
          <w:rFonts w:ascii="Times New Roman;Times;serif" w:hAnsi="Times New Roman;Times;serif"/>
          <w:i/>
          <w:sz w:val="20"/>
        </w:rPr>
        <w:t>Hash Rate Marketplace</w:t>
      </w:r>
      <w:r>
        <w:rPr>
          <w:rFonts w:ascii="Times New Roman;Times;serif" w:hAnsi="Times New Roman;Times;serif"/>
          <w:sz w:val="20"/>
        </w:rPr>
        <w:t xml:space="preserve"> and connecting them to our hash rate users. Together with other market players, we make available diverse and quality hash rate products on our </w:t>
      </w:r>
      <w:r>
        <w:rPr>
          <w:rFonts w:ascii="Times New Roman;Times;serif" w:hAnsi="Times New Roman;Times;serif"/>
          <w:i/>
          <w:sz w:val="20"/>
        </w:rPr>
        <w:t>Hash Rate Marketplace,</w:t>
      </w:r>
      <w:r>
        <w:rPr>
          <w:rFonts w:ascii="Times New Roman;Times;serif" w:hAnsi="Times New Roman;Times;serif"/>
          <w:sz w:val="20"/>
        </w:rPr>
        <w:t xml:space="preserve"> facilitate the growth of our user base, and both third-party hash rate suppliers and ourselves can enjoy the faster cash payback enabled by a thriving </w:t>
      </w:r>
      <w:r>
        <w:rPr>
          <w:rFonts w:ascii="Times New Roman;Times;serif" w:hAnsi="Times New Roman;Times;serif"/>
          <w:i/>
          <w:sz w:val="20"/>
        </w:rPr>
        <w:t>Hash Rate Marketplace.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our hosting service, we compete with other hosting operations globally. Our competitiveness depends on our ability to supply hosting space and power, our deployment, management and operation capabilities, the value of our service offering to customers, the availability of mining equipment and technologies, etc. Our innovative computing and hosting service “group-buying” model under </w:t>
      </w:r>
      <w:r>
        <w:rPr>
          <w:rFonts w:ascii="Times New Roman;Times;serif" w:hAnsi="Times New Roman;Times;serif"/>
          <w:i/>
          <w:sz w:val="20"/>
        </w:rPr>
        <w:t>Cloud Hosting</w:t>
      </w:r>
      <w:r>
        <w:rPr>
          <w:rFonts w:ascii="Times New Roman;Times;serif" w:hAnsi="Times New Roman;Times;serif"/>
          <w:sz w:val="20"/>
        </w:rPr>
        <w:t xml:space="preserve"> gives us a clear advantage. We also enjoy the first-mover advantage in mining datacenter deployment and operation as well as mining machine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operate in highly competitive industries for cryptocurrency mining and related services. Our competitors include Argo Blockchain PLC, Bit Digital, Inc., Bitcoin Investment Trust, Bitfarms Technologies Ltd., Blockchain Industries, Inc, Cipher Mining Inc., Coinbase, Inc., Digihost International, Inc., DMG Blockchain Solutions Inc., DPW Holdings, Inc., HashChain Technology, Inc., Hive Blockchain Technologies Inc., Greenidge Generation Holdings Inc., Hut 8 Mining Corp., Layer1 Technologies, Inc., Marathon Digital Holdings, Inc., MGT Capital Investments, Inc., Northern Data AG, Overstock.com Inc., Riot Blockchain, Inc. and TeraWulf Inc. Many of our competitors are well-known worldwide players and we face competitors that are larger than us and have advantages over us in terms of economies of scale and financial and other resources. Some of our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As such, we expect that competition in our markets will continue to be intense.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2023, we owned eight registered patents, 11 registered copyrights, 151 registered trademarks and 196 registered domain names. We are also in the process of applying for nine registered patents. 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Seasonality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hash rate level is typically slightly lower in summer as temperature affects mining machine performance regarding hash rate generation.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Government Regulation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Due to the relatively short history of cryptocurrencies, and their emergence as a new asset class, government regulation of blockchain and cryptocurrencies is constantly evolving, with increased interest expressed by U.S. and internal regulators. For example, the Cyber-Digital Task Force of the U.S. Department of Justice published a report entitled “Cryptocurrency: An Enforcement Framework” in October 2020 that detailed the Department’s view with respect to cryptocurrencies and the tools at the Department’s disposal to deal with threats posed by cryptocurrencies. In March 2021, the nominee for Chair of the SEC expressed the need for investor protection along with promotion of innovation in the cryptocurrency space.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Government regulation of blockchain and cryptocurrencies is under active consideration by the United States federal government via its agencies and regulatory bodies, as well as by similar entities in other countries and transnational organizations, such as the European Union. State and local regulations also may apply to our activities and other activities in which we may participate in the future. Other governmental or semi- governmental regulatory bodies have shown an interest in regulating or investigating companies engaged in blockchain or cryptocurrency businesses. For instance, the SEC has taken an active role in regulating the use of public offerings of proprietary coins (so-called “initial coin offerings”) and has made statements and official promulgations as to the status of certain cryptocurrencies as “securities” subject to regulation by the SEC.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 of any regulatory change, either by the Federal, state, local or foreign governments or any self-regulatory agencies on us is impossible to predict, but such change could be substantial and may have a material adverse effect on our business, financial condition and results of operations. While we are unaware of significant adverse governmental or regulatory action adverse to Bitcoin or Ethereum mining in the United States, there is no guarantee that future regulation or adverse action will not take place and interpretation of existing regulations in a manner adverse to our business is possible.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various foreign jurisdictions either have adopted, or may adopt, laws, regulations or directives that affect cryptocurrencies, cryptocurrency networks, and their users and participants. Such laws, regulations or directives may conflict with those of the United States, may negatively impact the acceptance of cryptocurrencies by users, merchants and service providers outside of the United States, and may therefore impede the growth of cryptocurrencies. A number of Eastern European and Asian countries currently have a more restrictive stance toward cryptocurrencies and, thereby, have reduced the rate of expansion of cryptocurrency use, as well as cryptocurrency transaction processing, in each of those countries. Presently, we do not believe any U.S. or State regulatory body has taken any action or position adverse to our main cryptocurrency, Bitcoin, with respect to its production, sale, and use as a medium of exchange; however, future changes to existing regulations or entirely new regulations may affect our business in ways it is not presently possible for us to predict with any reasonable degree of reliability.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the regulatory and legal environment evolves, we may become subject to new laws, such as further regulation by the SEC and other agencies, which may affect our mining and other activities.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597" w:type="dxa"/>
        <w:jc w:val="left"/>
        <w:tblInd w:w="0" w:type="dxa"/>
        <w:tblCellMar>
          <w:top w:w="0" w:type="dxa"/>
          <w:left w:w="0" w:type="dxa"/>
          <w:bottom w:w="0" w:type="dxa"/>
          <w:right w:w="0" w:type="dxa"/>
        </w:tblCellMar>
      </w:tblPr>
      <w:tblGrid>
        <w:gridCol w:w="301"/>
        <w:gridCol w:w="2296"/>
      </w:tblGrid>
      <w:tr>
        <w:trPr/>
        <w:tc>
          <w:tcPr>
            <w:tcW w:w="30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C.</w:t>
            </w:r>
          </w:p>
        </w:tc>
        <w:tc>
          <w:tcPr>
            <w:tcW w:w="229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Organizational Structure</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Upon consummation of the Business Combination, Bitdeer and BSGA became wholly-owned subsidiaries of the Company. The following diagram depicts a simplified organizational structure of the Company as of the date hereof. These subsidiaries are also set forth in Exhibit 8.1 to this annual report.</w:t>
      </w:r>
    </w:p>
    <w:tbl>
      <w:tblPr>
        <w:tblW w:w="8755" w:type="dxa"/>
        <w:jc w:val="left"/>
        <w:tblInd w:w="0" w:type="dxa"/>
        <w:tblCellMar>
          <w:top w:w="0" w:type="dxa"/>
          <w:left w:w="0" w:type="dxa"/>
          <w:bottom w:w="0" w:type="dxa"/>
          <w:right w:w="0" w:type="dxa"/>
        </w:tblCellMar>
      </w:tblPr>
      <w:tblGrid>
        <w:gridCol w:w="3436"/>
        <w:gridCol w:w="326"/>
        <w:gridCol w:w="2116"/>
        <w:gridCol w:w="326"/>
        <w:gridCol w:w="2551"/>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81860" cy="175260"/>
                      <wp:effectExtent l="0" t="0" r="0" b="0"/>
                      <wp:wrapNone/>
                      <wp:docPr id="37" name="Frame36"/>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43660" cy="175260"/>
                      <wp:effectExtent l="0" t="0" r="0" b="0"/>
                      <wp:wrapNone/>
                      <wp:docPr id="39" name="Frame38"/>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19885" cy="175260"/>
                      <wp:effectExtent l="0" t="0" r="0" b="0"/>
                      <wp:wrapNone/>
                      <wp:docPr id="41" name="Frame40"/>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211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of Ownership Interest Held by</w:t>
            </w:r>
          </w:p>
        </w:tc>
      </w:tr>
      <w:tr>
        <w:trPr/>
        <w:tc>
          <w:tcPr>
            <w:tcW w:w="3436" w:type="dxa"/>
            <w:tcBorders>
              <w:bottom w:val="single" w:sz="2" w:space="0" w:color="231F2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Name*</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21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Jurisdiction</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25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Bitdeer Technologies Group</w:t>
            </w:r>
          </w:p>
        </w:tc>
      </w:tr>
      <w:tr>
        <w:trPr/>
        <w:tc>
          <w:tcPr>
            <w:tcW w:w="3436" w:type="dxa"/>
            <w:tcBorders>
              <w:top w:val="single" w:sz="2" w:space="0" w:color="231F20"/>
            </w:tcBorders>
            <w:shd w:fill="CCEEFF" w:val="clear"/>
            <w:tcMar>
              <w:top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Technologies Holding Company</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Cayman Islands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STRAITDEER PTE. LTD.</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Singapore</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Sharpening Technology Limited</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British Virgin Islands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Technologies Limited</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Hong Kong</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Netherlands B.V.</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Netherlands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Norway AS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Norway</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Norway Hash Technologies AS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Norway</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Inc.</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Equipment (Canada) Inc.</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Canada</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Carpenter Creek. LLC</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Ant Creek, LLC</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Dory Creek, LLC</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Z Engineers, LLC</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Bitdeer Sales (USA) Inc.</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1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551" w:type="dxa"/>
            <w:tcBorders/>
            <w:shd w:fill="auto"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Brock Creek LLC</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1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United States of America</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2551" w:type="dxa"/>
            <w:tcBorders/>
            <w:shd w:fill="CCEEFF" w:val="clear"/>
            <w:vAlign w:val="center"/>
          </w:tcPr>
          <w:p>
            <w:pPr>
              <w:pStyle w:val="TableContents"/>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100%</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999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Other subsidiaries of the Company, including BSGA, have been omitted because, in the aggregate, they would not be a “significant subsidiary” as defined in rule 1-02(w) of Regulation S-X as of the completion of the Business Combination.</w:t>
            </w:r>
          </w:p>
        </w:tc>
      </w:tr>
    </w:tbl>
    <w:tbl>
      <w:tblPr>
        <w:tblW w:w="3167" w:type="dxa"/>
        <w:jc w:val="left"/>
        <w:tblInd w:w="0" w:type="dxa"/>
        <w:tblCellMar>
          <w:top w:w="0" w:type="dxa"/>
          <w:left w:w="0" w:type="dxa"/>
          <w:bottom w:w="0" w:type="dxa"/>
          <w:right w:w="0" w:type="dxa"/>
        </w:tblCellMar>
      </w:tblPr>
      <w:tblGrid>
        <w:gridCol w:w="301"/>
        <w:gridCol w:w="2866"/>
      </w:tblGrid>
      <w:tr>
        <w:trPr/>
        <w:tc>
          <w:tcPr>
            <w:tcW w:w="30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w:t>
            </w:r>
          </w:p>
        </w:tc>
        <w:tc>
          <w:tcPr>
            <w:tcW w:w="286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Property, Plants and Equipment</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executive offices are located at #09-03/04, Aperia Tower 1, 8 Kallang Avenue, Singapore 339509, where we lease an approximately 440 square meters facility. This facility houses our administrative headquarters and research and development center. We believe that our existing facilities are suitable and adequate to meet our current needs. If we need to add new facilities or expand existing facilities as we add employees, we believe that suitable additional space will be available to accommodate any such expansion of our operations. For our proprietary mining datacenters, see the section entitled “Item 4. Information on the Company –– B. Business Overview––Our Proprietary Mining Datacenters.”</w:t>
      </w:r>
    </w:p>
    <w:p>
      <w:pPr>
        <w:pStyle w:val="TextBody"/>
        <w:spacing w:before="0" w:after="240"/>
        <w:ind w:left="0" w:right="0" w:hanging="0"/>
        <w:rPr>
          <w:rFonts w:ascii="Times New Roman;Times;serif" w:hAnsi="Times New Roman;Times;serif"/>
          <w:b/>
          <w:sz w:val="20"/>
        </w:rPr>
      </w:pPr>
      <w:bookmarkStart w:id="54" w:name="ITEM4AUNRESOLVEDSTAFFCOMMENTS_411903"/>
      <w:bookmarkStart w:id="55" w:name="_1ef016c1_267d_48a5_a32e_da4309c0b905"/>
      <w:bookmarkEnd w:id="54"/>
      <w:bookmarkEnd w:id="55"/>
      <w:r>
        <w:rPr>
          <w:rFonts w:ascii="Times New Roman;Times;serif" w:hAnsi="Times New Roman;Times;serif"/>
          <w:b/>
          <w:sz w:val="20"/>
        </w:rPr>
        <w:t>ITEM 4A. UNRESOLVED STAFF COMMENTS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56" w:name="ITEM5OPERATINGANDFINANCIALREVIEWANDPROSP"/>
      <w:bookmarkStart w:id="57" w:name="_bb10a1e0_2941_424e_81b3_3f907d1e1dbb"/>
      <w:bookmarkEnd w:id="56"/>
      <w:bookmarkEnd w:id="57"/>
      <w:r>
        <w:rPr>
          <w:rFonts w:ascii="Times New Roman;Times;serif" w:hAnsi="Times New Roman;Times;serif"/>
          <w:b/>
          <w:sz w:val="20"/>
        </w:rPr>
        <w:t>ITEM 5. OPERATING AND FINANCIAL REVIEW AND PROSPECTS</w:t>
      </w:r>
    </w:p>
    <w:tbl>
      <w:tblPr>
        <w:tblW w:w="1967" w:type="dxa"/>
        <w:jc w:val="left"/>
        <w:tblInd w:w="0" w:type="dxa"/>
        <w:tblCellMar>
          <w:top w:w="0" w:type="dxa"/>
          <w:left w:w="0" w:type="dxa"/>
          <w:bottom w:w="0" w:type="dxa"/>
          <w:right w:w="0" w:type="dxa"/>
        </w:tblCellMar>
      </w:tblPr>
      <w:tblGrid>
        <w:gridCol w:w="301"/>
        <w:gridCol w:w="1666"/>
      </w:tblGrid>
      <w:tr>
        <w:trPr/>
        <w:tc>
          <w:tcPr>
            <w:tcW w:w="30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A.</w:t>
            </w:r>
          </w:p>
        </w:tc>
        <w:tc>
          <w:tcPr>
            <w:tcW w:w="166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Operating Results</w:t>
            </w:r>
          </w:p>
        </w:tc>
      </w:tr>
    </w:tbl>
    <w:p>
      <w:pPr>
        <w:pStyle w:val="TextBody"/>
        <w:spacing w:before="0" w:after="103"/>
        <w:ind w:left="0" w:right="0" w:firstLine="399"/>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 — D. Risk Factors” and elsewhere in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Recent events impacting our business are as follows: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Business Combination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consummated the Business Combination on April 13, 2023. Our Class A Ordinary Shares commenced trading on the Nasdaq on April 14, 2023, under the symbol “BTDR.”</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Key Performance Metrics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a number of metrics, including the key metrics presented below, to evaluate our business and performance.</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Hash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hash rate is an important metric for assessing the strength of our business. “Hash rate” is a measure of computational power that is being used to mine and process transactions on a PoW blockchain, such as Bitcoin, representing the number of calculations per second that can be performed. Cryptocurrency mining is a competitive process in that only the first miner who solves a particular mining puzzle through numerous calculations can get the mining reward. Accordingly, the more hash rate we possess, as a percentage of the entire network hash rate for a particular cryptocurrency, the higher possibility we have in resolving a block on the network blockchain, and hence a greater chance of success in obtaining cryptocurrency rewards. We calculate and report our hash rate in EH/s. One exahash equals one quintillion hashes per second. As of March 31, 2023, we possessed proprietary hash rate of 5.7 EH/s.</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Electricity Capacity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Electricity capacity is another key metric to evaluate our business and operation given the energy intensive nature of cryptocurrency mining. Cryptocurrency mining is conducted through intensive computations, and the generation of the hash rate used in such computations requires large amounts of electricity. As a result, the growth of our business, such as proprietary mining and hash rate sales through </w:t>
      </w:r>
      <w:r>
        <w:rPr>
          <w:rFonts w:ascii="Times New Roman;Times;serif" w:hAnsi="Times New Roman;Times;serif"/>
          <w:i/>
          <w:sz w:val="20"/>
        </w:rPr>
        <w:t>Cloud Hash Rate,</w:t>
      </w:r>
      <w:r>
        <w:rPr>
          <w:rFonts w:ascii="Times New Roman;Times;serif" w:hAnsi="Times New Roman;Times;serif"/>
          <w:sz w:val="20"/>
        </w:rPr>
        <w:t xml:space="preserve"> relies on a sustainable and increasing supply of a significant amount of electricity, which is currently supported by our proprietary mining datacenters. As of March 31, 2023, our electricity capacity was 795MW.</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Electricity Cost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our business operations consume a large amount of electricity and electricity cost in operating mining machines accounts for a significant portion of our overall cost of revenue, we strive to maintain our leadership position in the global electricity cost curve by building mining datacenters worldwide, where low electricity cost supports stable operations. As such, we see electricity cost a key indicator of our business performance. Our premier mining datacenters allowed us to reach an average electricity cost of our mining datacenters to US$50/MWh for the year ended December 31, 2022 and US$36/MWh for the three months ended March 31, 2023.</w:t>
      </w:r>
    </w:p>
    <w:p>
      <w:pPr>
        <w:pStyle w:val="TextBody"/>
        <w:spacing w:before="1" w:after="240"/>
        <w:ind w:left="0" w:right="0" w:hanging="0"/>
        <w:rPr>
          <w:rFonts w:ascii="Times New Roman;Times;serif" w:hAnsi="Times New Roman;Times;serif"/>
          <w:b/>
          <w:color w:val="231F20"/>
          <w:sz w:val="20"/>
        </w:rPr>
      </w:pPr>
      <w:r>
        <w:rPr>
          <w:rFonts w:ascii="Times New Roman;Times;serif" w:hAnsi="Times New Roman;Times;serif"/>
          <w:b/>
          <w:color w:val="231F20"/>
          <w:sz w:val="20"/>
        </w:rPr>
        <w:t>Non-IFRS Financial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evaluating our business, we consider and use non-IFRS measures, adjusted EBITDA and adjusted profit/(loss), as supplemental measures to review and assess our operating performance. We define adjusted EBITDA as earnings before interest, taxes, depreciation and amortization, further adjusted to exclude share- based payment expenses under IFRS 2, and define adjusted profit/(loss) as profit/(loss) adjusted to exclude share-based payment expenses under IFRS 2. We present these non-IFRS financial measures because they are used by our management to evaluate our operating performance and formulate business plans. We also believe that the use of these non-IFRS measures facilitate investors’ assessment of our operating performance. These measures are not necessarily comparable to similarly titled measures used by other companies. As a result, you should not consider these measures in isolation from, or as a substitute analysis for, our profit/(loss) for the periods, as determined in accordance with IFRS.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compensate for these limitations by reconciling these non-IFRS financial measures to the nearest IFRS performance measure, all of which should be considered when evaluating our performance. We encourage you to review our financial information in its entirety and not rely on a single financial measure.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a reconciliation of profit/(loss) for the relevant period to adjusted EBITDA and adjusted profit/(loss), for the years ended December 31, 2020, 2021 and 2022.</w:t>
      </w:r>
    </w:p>
    <w:tbl>
      <w:tblPr>
        <w:tblW w:w="6022" w:type="dxa"/>
        <w:jc w:val="left"/>
        <w:tblInd w:w="0" w:type="dxa"/>
        <w:tblCellMar>
          <w:top w:w="0" w:type="dxa"/>
          <w:left w:w="0" w:type="dxa"/>
          <w:bottom w:w="0" w:type="dxa"/>
          <w:right w:w="0" w:type="dxa"/>
        </w:tblCellMar>
      </w:tblPr>
      <w:tblGrid>
        <w:gridCol w:w="2626"/>
        <w:gridCol w:w="326"/>
        <w:gridCol w:w="796"/>
        <w:gridCol w:w="326"/>
        <w:gridCol w:w="781"/>
        <w:gridCol w:w="326"/>
        <w:gridCol w:w="841"/>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67510" cy="175260"/>
                      <wp:effectExtent l="0" t="0" r="0" b="0"/>
                      <wp:wrapNone/>
                      <wp:docPr id="42" name="Frame41"/>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5460" cy="175260"/>
                      <wp:effectExtent l="0" t="0" r="0" b="0"/>
                      <wp:wrapNone/>
                      <wp:docPr id="44" name="Frame4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6" name="Frame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4035" cy="175260"/>
                      <wp:effectExtent l="0" t="0" r="0" b="0"/>
                      <wp:wrapNone/>
                      <wp:docPr id="48" name="Frame4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7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022"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7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Profit/(loss) for the year</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(55,826)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82,643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Add: </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26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112,037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63,055</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66,424</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 expenses/(benefit)</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48,246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r>
      <w:tr>
        <w:trPr/>
        <w:tc>
          <w:tcPr>
            <w:tcW w:w="26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expense/(income), net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payment expenses</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88,355</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90,648</w:t>
            </w:r>
          </w:p>
        </w:tc>
      </w:tr>
      <w:tr>
        <w:trPr/>
        <w:tc>
          <w:tcPr>
            <w:tcW w:w="26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Adjusted EBITDA </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48,654</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281,795</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93,218</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Profit/(Loss)</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26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Profit/(loss) for the year</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(55,826)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82,643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Add: </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26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payment expenses</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88,355</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90,648</w:t>
            </w:r>
          </w:p>
        </w:tc>
      </w:tr>
      <w:tr>
        <w:trPr/>
        <w:tc>
          <w:tcPr>
            <w:tcW w:w="26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profit/(loss)</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(55,826)</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170,998</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30,282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factors are the principal factors that have affected and will continue to affect our business, financial condition, results of operations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Price and volatility of Bitcoin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derive, and expect to continue to derive, a significant portion of revenue from proprietary mining of cryptocurrency, primarily Bitcoin. Hence, our ability to generate revenue from this business line is directly affected by the market price of Bitcoin. The Bitcoin price may also impact the use of our mining machines. Our proprietary mining business breaks even so long as it is economically beneficial for us to continue to operate our mining machines, and that is essentially when the mining machines contribute positive cash flow (i.e., when the variable cost to mine one Bitcoin, namely the electricity cost, equals the market price of a Bitcoin, which we refer to as “shutdown Bitcoin price” for our proprietary mining business). So long as the Bitcoin price is higher than the “shutdown Bitcoin price,” we would continue to operate our mining machines and such operation would be economically beneficial to us. See the section entitled “Item 3. Key Information — D. Risk Factors — Risks Related to Our Business, Operations, Industry and Financial Condition — Our results of operations have been and are expected to continue to be significantly impacted by Bitcoin price fluctuation.” In addition, the depreciation and impairment potential of our mining machines may be affected by the volatility of the market prices of Bitcoin and other cryptocurrencies. See the section entitled “— Our ability to procure mining machines at a lower cost” below. On the other hand, a drop in Bitcoin price may also create an opportunity for us to add cheaper mining machines to our mining fleets. We also generate a large percentage of revenue from </w:t>
      </w:r>
      <w:r>
        <w:rPr>
          <w:rFonts w:ascii="Times New Roman;Times;serif" w:hAnsi="Times New Roman;Times;serif"/>
          <w:i/>
          <w:sz w:val="20"/>
        </w:rPr>
        <w:t>Cloud Hash Rate,</w:t>
      </w:r>
      <w:r>
        <w:rPr>
          <w:rFonts w:ascii="Times New Roman;Times;serif" w:hAnsi="Times New Roman;Times;serif"/>
          <w:sz w:val="20"/>
        </w:rPr>
        <w:t xml:space="preserve"> which offers hash rate to be utilized by third-party miners. As a result, revenue from this business line is also correlated with Bitcoin price and volatility.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there are a number of other factors that contribute to changes in Bitcoin price and volatility, including, but not limited to, Bitcoin market sentiment, macroeconomic factors, utility of Bitcoin, and idiosyncratic events such as exchange outages or social media. These factors have contributed to the depreciation of Bitcoin. For example, recent industry-wide developments, including the continued industry- wide fallout from the recent Chapter 11 bankruptcy filings of cryptocurrency exchanges FTX (including its affiliated hedge fund Alameda Research LLC), crypto hedge fund Three Arrows, crypto miners Compute North and Core Scientific and crypto lenders Celsius Network, Voyager Digital and BlockFi, have led to a drop in Bitcoin price. The Bitcoin price has dropped significantly from its last peak on November 9, 2021 to US$15,986 on November 22, 2022, its lowest point since the last peak, and returned to US$29,923, as of April 18,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Despite the recent market volatility, the appreciation potential of Bitcoin remains high due to several factors. Bitcoins are inherently scarce, given they are designed to have a finite supply of 21 million associated with a depreciating rewarding mechanism, termed “halving,” under which the reward for mining Bitcoin transactions is reduced in half every four years. The growing recognition of Bitcoins also attracts large investment into the Bitcoin economy, as evidenced by an increasing installed network hash rate of Bitcoin globally, and increasing adoption of Bitcoin as an investment instrument and a payment method. Further, more countries are establishing clear and robust regulations to create a more stable environment for Bitcoin mining and trading, which may facilitate the demand for Bitcoins and Bitcoin price appreciation. The Bitcoin price has soared by 236% from the last peak at US$20,089 on December 17, 2017 to US$67,562 on November 9, 2021, according to Frost &amp; Sullivan.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While we have seen clear growth in both of our proprietary mining and </w:t>
      </w:r>
      <w:r>
        <w:rPr>
          <w:rFonts w:ascii="Times New Roman;Times;serif" w:hAnsi="Times New Roman;Times;serif"/>
          <w:i/>
          <w:sz w:val="20"/>
        </w:rPr>
        <w:t>Cloud Hash Rate</w:t>
      </w:r>
      <w:r>
        <w:rPr>
          <w:rFonts w:ascii="Times New Roman;Times;serif" w:hAnsi="Times New Roman;Times;serif"/>
          <w:sz w:val="20"/>
        </w:rPr>
        <w:t xml:space="preserve"> business, we have limited ability to predict Bitcoin price and its volatility, which we expect to continue to affect our future earnings and cash flows.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maintain our leadership position in proprietary hash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prevailing strategy to profit from proprietary hash rate is mining. The cryptocurrencies mined can be sold at a profit when their market value is high enough to cover the cost of mining machines, electricity fees and other mining-related expenses. Bitcoins are intentionally designed to be resource-intensive and difficult to mine, rendering hash rate critical in the mining industry. Possessing a higher share of network hash rate translates to a higher likelihood of generating mining awards.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strive to maintain our leadership position in proprietary hash rate. In particular, we have established a business model that allows us to constantly reinforce our market-leading position and outpace our competitors in terms of scaling up our proprietary hash rate. We strategically allocate a significant amount of proprietary hash rate to hash rate sales through our </w:t>
      </w:r>
      <w:r>
        <w:rPr>
          <w:rFonts w:ascii="Times New Roman;Times;serif" w:hAnsi="Times New Roman;Times;serif"/>
          <w:i/>
          <w:sz w:val="20"/>
        </w:rPr>
        <w:t>Cloud Hash Rate</w:t>
      </w:r>
      <w:r>
        <w:rPr>
          <w:rFonts w:ascii="Times New Roman;Times;serif" w:hAnsi="Times New Roman;Times;serif"/>
          <w:sz w:val="20"/>
        </w:rPr>
        <w:t xml:space="preserve"> business, to enable instant cash payback upon customers’ subscription to our hash rate plans. We generally generate proceeds from hash rate sales under long-term hash rate subscription plans that approximate the purchase cost of mining machines. We are able to achieve such a premium against mining machine purchase cost as our hash rate subscription plans save hash rate buyers the efforts from complex mining operation and maintenance and have built brand recognition among customers. Therefore, we are able to continuously grow our proprietary hash rate by funding the purchase of additional mining fleets with the instant cash collected from hash rate sales using our existing mining fleets, significantly reducing our payback period to one month, compared to the long payback period associated with cryptocurrency mining activities, which is typically from 6 to 18 months, according to Frost &amp; Sullivan. We intend to continuously scale up our infrastructure and proprietary hash rate in this efficient manner in order to maintain and reinforce our leading position in proprietary hash rate. However, whether we can achieve a premium through this model depends on various factors, such as the supply and demand in both mining machines and global mining datacenters, whether miners prefer conducting mining operations on their own and technology advancements. Short-term Bitcoin price fluctuations is another contributing factor as quickly adjusting the pricing of our hash rate subscriptions plans to reflect such price change is difficult, if not impossible. Whether this approach will remain effective will affect our ability to add more mining fleets to support the scale-up of our infrastructure and hash rate.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procure mining machines at a lower cost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of mining machines remained one of the few largest costs we incurred in our business operations for the years ended December 31, 2020, 2021 and 2022. Depreciation of mining machines is directly affected by the purchase price of these machines.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the market value of cryptocurrencies increases, the demand for the most recent and efficient mining machines has also increased, leading to scarcity in the supply of and thereby an increase in the price of mining machines. As a result, the cost of new machines can be unpredictable, and could also be significantly higher than our historical cost for new mining machines. Based on our well-established network with upstream mining machine suppliers and traders, we believe that we are able to secure spot machines for the most recent and most commonly used models at a relatively low price for a majority of our mining machines and thereby lowering depreciation of mining machines. On the other hand, a decrease in market value of cryptocurrencies may present opportunities for us to procure cheaper mining machines. For example, in light of the recent decrease and volatility of Bitcoin price, we are in the process of establishing a fund to purchase mining machines from financially distressed miners, if the value and quality of such mining machines are satisfactory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whether we are able to successfully procure mining machines at a low price is subject to a number of factors, including our brand strength, our mining machine purchase channels, and supply and demand of mining machines, some of which may not be entirely within our control. Even if we are able to procure mining machines at a lower cost, the depreciation and impairment potential of our mining machines may nevertheless be affected by the volatility of the market prices of Bitcoin and other cryptocurrencies. We may need to reconsider the appropriateness of the current useful life, the residual value and the depreciation method of our mining machines based on the change in cryptocurrency prices on a yearly or more frequently basis. In addition to the reassessment of depreciation, we may also need to assess whether any indications are present which will result in impairments of our mining machines. For example, impairments may be necessary if the expected operating profits from the mining machines show a significant decline from previous forecasts, which may be caused if the market price of Bitcoin drops below the mining machine shut-down price.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effectively maintain our leadership position in the global electricity cost curve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Electricity cost was the other largest cost, besides depreciation of mining machines, that we incurred in our business operations for the years ended December 31, 2020, 2021 and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secure ample power supply with low electricity cost is underpinned by our top-notch global mining datacenters deployment and operation experience and capabilities. We pioneer in deploying and operating mining datacenters globally. Our dedicated global team for mining datacenter construction understands the critical needs of mining as well as the complex and continuously evolving global landscape of electricity supply. They also have extensive connections with local electricity experts and power enterprises around the world, giving us a clear advantage in mining datacenter construction, and hence in electricity capacity and electricity costs among our competitors. We were able to optimize our electricity cost structure and reach an average electricity cost of our proprietary mining datacenters to US$50/MWh for the year ended December 31, 2022 and US$36/MWh for the three months ended March 31, 2023. Whether our current cost-saving efforts or our forward strategy in this regard is effective for maintaining our leadership position in the global electricity cost curve will affect our ability to control our costs.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judgments regarding pricing strategy and resource allocation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operations involve constant and important decision-making regarding the pricing of our products and services as well as allocation of mining resources. Our pricing strategy is based on our estimates of market trends. As we operate three business lines, we have to decide the allocation of proprietary hash rate between “proprietary mining” and “hash rate sharing” as well as the allocation of mining datacenter capacity among “proprietary mining”, “hash rate sharing” and “hosting”. While allocating more mining resources to “hash rate sharing” and “hosting” services may facilitate cash payback and mining datacenter expansion, we have to forgo Bitcoin’s huge appreciation potential to some extent as we could earn more Bitcoins by allocating the same mining resources to “proprietary mining”, and vice versa. We spend great efforts in making decisions in the Company’s best interest, taking into account Bitcoin price, network hash rate, the amount of cash we need and our view on the market opportunities for acquiring mining machines or expanding mining datacenters at low cost, etc. However, we cannot guarantee that our decisions could bring the Company the best results every time, and we anticipate our business judgments will continue to affect the results of our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upgrade and expand our offerings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Crypto-economy is characterized by continuous fluctuations and frequent innovations. Therefore, our future success is dependent on our ability to diversify our income structure to reduce exposure to fluctuations of the price of Bitcoin, the most significant type of cryptocurrency involved in our business operation, and maintain our market-leading position by upgrading and expanding our offerings. We launched Minerplus in January 2021 to improve operational efficiency for our proprietary mining business and miner customers. We expect to further expand our hosting service and generate more revenue from the service. We are in the process of building an efficient hash rate trading marketplace connecting third-party hash rate suppliers and hash rate buyers. We intend to enrich our product and service portfolio by providing mining services covering new crypto protocols, including Proof-of-Stake (“PoS”), Delegated Proof-of-Stake (“DPoS”), Proof-of-Spacetime (“PoSt”) and Proof-of-Capacity (“PoC”), and steadily increase the weight of new business to diversify revenue streams and attract new customers who are users of these new crypto protocols.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have accumulated extensive expertise and know-how in the cryptocurrency industry, we are only at an earlier stage of executing our offering expansion plan. Upgrading existing offerings and commencing new businesses may incur significant costs and experience a prolonged ramp-up period. Although we expect these investments to benefit our business over the long term, we also expect our total operating expenses will increase for the foreseeable future. If any adverse development in such new businesses arises, we may not be able to develop those new businesses as successfully as contemplated, or at all, and our results of operations and prospects may be significantly and negatively affected as a result.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Regulatory environment</w:t>
      </w:r>
    </w:p>
    <w:p>
      <w:pPr>
        <w:pStyle w:val="TextBody"/>
        <w:spacing w:before="0" w:after="240"/>
        <w:ind w:left="0" w:right="0" w:firstLine="403"/>
        <w:jc w:val="both"/>
        <w:rPr>
          <w:rFonts w:ascii="Times New Roman;Times;serif" w:hAnsi="Times New Roman;Times;serif"/>
          <w:sz w:val="20"/>
        </w:rPr>
      </w:pPr>
      <w:r>
        <w:rPr>
          <w:rFonts w:ascii="Times New Roman;Times;serif" w:hAnsi="Times New Roman;Times;serif"/>
          <w:sz w:val="20"/>
        </w:rPr>
        <w:t>We are a leading cryptocurrency mining service provider with a strong global presence. As of March 31, 2023, we operated five prime mining datacenters in the United States and Norway and had served users across over 100 countries and regions around the globe, and may continue to expand our operations to more countries and regions. Each of our business lines is subject to government regulation in each jurisdiction in which we operate and various jurisdictions may from time to time adopt laws, regulations or directives that affect our businesses. We are subject to regulatory risks with regards to mining, holding, using, or transferring cryptocurrencies, etc., and the uncertainty of the regulatory environment and our ability to anticipate and respond to potential changes in government policies and regulations will have a significant impact on our business operations in countries we operate in and our overall results of operations. Regulations have impacted or could impact, among others, the nature of and scope of offerings we are able to make available, the pricing of offerings on our platform, our relationship with, and incentives, fees and commissions provided to or charged from our business partners, our ability to operate in certain segments of our business. We expect that our ability to manage our relationships with regulators in each of our markets, as well as existing and evolving regulations will continue to impact our results in the future.</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Impact of COVID-19</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COVID-19 pandemic has caused general business disruption worldwide beginning in January 2020, and the subsequent restrictive measures imposed by the governments around the world have caused disruption to businesses and resulted in significant global economic impacts. COVID-19 has also historically impacted the payment efficiency of certain of our customers. The effects the pandemic are subsiding and we, at present, are conducting business and operations as usual. As of the date of this annual report, these impacts have not had a significant effect on our financial results or operations and liquidity. See the section entitled “Item 3. Key Information — D. Risk Factors — The COVID-19 pandemic has brought a significantly negative impact on the global economy, industry and market conditions. The ongoing development and the global control on the pandemic are unclear, which may increase the instability of Bitdeer’s development, materially and adversely affecting Bitdeer’s results of operations” for further details regarding risks related to the COVID-19 pandemic.</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generate revenue from (i) proprietary mining, (ii) hash rate sales through </w:t>
      </w:r>
      <w:r>
        <w:rPr>
          <w:rFonts w:ascii="Times New Roman;Times;serif" w:hAnsi="Times New Roman;Times;serif"/>
          <w:i/>
          <w:sz w:val="20"/>
        </w:rPr>
        <w:t>Cloud Hash Rate</w:t>
      </w:r>
      <w:r>
        <w:rPr>
          <w:rFonts w:ascii="Times New Roman;Times;serif" w:hAnsi="Times New Roman;Times;serif"/>
          <w:sz w:val="20"/>
        </w:rPr>
        <w:t xml:space="preserve">, (iii) </w:t>
      </w:r>
      <w:r>
        <w:rPr>
          <w:rFonts w:ascii="Times New Roman;Times;serif" w:hAnsi="Times New Roman;Times;serif"/>
          <w:i/>
          <w:sz w:val="20"/>
        </w:rPr>
        <w:t>Cloud Hosting</w:t>
      </w:r>
      <w:r>
        <w:rPr>
          <w:rFonts w:ascii="Times New Roman;Times;serif" w:hAnsi="Times New Roman;Times;serif"/>
          <w:sz w:val="20"/>
        </w:rPr>
        <w:t xml:space="preserve">, (iv) </w:t>
      </w:r>
      <w:r>
        <w:rPr>
          <w:rFonts w:ascii="Times New Roman;Times;serif" w:hAnsi="Times New Roman;Times;serif"/>
          <w:i/>
          <w:sz w:val="20"/>
        </w:rPr>
        <w:t>General Hosting</w:t>
      </w:r>
      <w:r>
        <w:rPr>
          <w:rFonts w:ascii="Times New Roman;Times;serif" w:hAnsi="Times New Roman;Times;serif"/>
          <w:sz w:val="20"/>
        </w:rPr>
        <w:t xml:space="preserve">, (v) </w:t>
      </w:r>
      <w:r>
        <w:rPr>
          <w:rFonts w:ascii="Times New Roman;Times;serif" w:hAnsi="Times New Roman;Times;serif"/>
          <w:i/>
          <w:sz w:val="20"/>
        </w:rPr>
        <w:t>Membership Hosting</w:t>
      </w:r>
      <w:r>
        <w:rPr>
          <w:rFonts w:ascii="Times New Roman;Times;serif" w:hAnsi="Times New Roman;Times;serif"/>
          <w:sz w:val="20"/>
        </w:rPr>
        <w:t xml:space="preserve">, (vi) sales of mining machines and (vii) others, which mainly consist of the provision of technical and human resources service, repairment services of hosted mining machines, lease of investment properties and the sale of mining machine peripherals. Historically, we only accepted cryptocurrency for </w:t>
      </w:r>
      <w:r>
        <w:rPr>
          <w:rFonts w:ascii="Times New Roman;Times;serif" w:hAnsi="Times New Roman;Times;serif"/>
          <w:i/>
          <w:sz w:val="20"/>
        </w:rPr>
        <w:t>Cloud Hosting</w:t>
      </w:r>
      <w:r>
        <w:rPr>
          <w:rFonts w:ascii="Times New Roman;Times;serif" w:hAnsi="Times New Roman;Times;serif"/>
          <w:sz w:val="20"/>
        </w:rPr>
        <w:t>. For our other products and services available to customers, we accept both fiat currency and cryptocurrencies as payments.</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Proprietary Mining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 into contracts with mining pool operators to provide computing power generated from our own mining machines to the mining pools. The contracts with mining pool operators are terminable at any time by either party. In exchange for providing computing power to the mining pool, we are entitled to cryptocurrency rewards from the mining pool operators, which is a variable consideration calculated based on a predetermined formula agreed by us and the mining pool operator as a part of the arrangement. The variable consideration is constrained until we can reasonably estimate the amount of mining rewards by the end of a given day based on the actual amount of computing power provided to the mining pool operators. By then, we consider it is highly probable that a significant reversal in the amount of revenues will not occur and includes such variable consideration in the transaction price. Providing computing power is an output of our ordinary activities and the only performance obligation in our contracts with mining pool operators. We recognize the revenue when the variable consideration is no longer constrained and the performance obligation of providing computing power has been satisfied. As a result, we do not present disaggregated revenue information on block rewards and transaction verification fees.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Cloud Hash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Through </w:t>
      </w:r>
      <w:r>
        <w:rPr>
          <w:rFonts w:ascii="Times New Roman;Times;serif" w:hAnsi="Times New Roman;Times;serif"/>
          <w:i/>
          <w:sz w:val="20"/>
        </w:rPr>
        <w:t>Cloud Hash Rate,</w:t>
      </w:r>
      <w:r>
        <w:rPr>
          <w:rFonts w:ascii="Times New Roman;Times;serif" w:hAnsi="Times New Roman;Times;serif"/>
          <w:sz w:val="20"/>
        </w:rPr>
        <w:t xml:space="preserve"> customers can subscribe to a specified amount of computing power derived from the mining machines held by us for a period of time through a wide selection of hash rate subscription plans offered by us, differentiated by plan duration and the type of cryptocurrency to be mined. By subscribing to the hash rate subscription plan, the customers are able to direct the computing power provided by us to be connected to a customer-designated mining pool for a period of time. As a result of directing the connection of such computing power to the mining pools, the customers are entitled to the mining rewards, which are directly transferred from mining pools to the customer-designated cryptocurrency wallets. Customers pay a fixed amount for the subscribed hash rate at the commencement of the plans. The revenue related to hash rate subscriptions is amortized ratably throughout the duration of the plan. The customer also needs to separately pay for electricity subscriptions to maintain the mining machines that produce the subscribed hash rate. The revenue related to electricity subscriptions is recognized ratably throughout the duration of each respective electricity subscription. The price of electricity subscription is fixed at the commencement of each electricity subscription. The hash rate subscription plans are offered under two modes. Under the classic mode, the customer receives all of the mining rewards from the mining pool. Under the accelerator mode, the customer pays a relatively lower computing power subscription fee. In exchange, we are entitled to additional consideration once the customer’s cost is recovered. The additional consideration is determined as a percentage of a customer’s mining profit derived from the subscribed computing power. We accept both cryptocurrency and fiat currency as payments under the </w:t>
      </w:r>
      <w:r>
        <w:rPr>
          <w:rFonts w:ascii="Times New Roman;Times;serif" w:hAnsi="Times New Roman;Times;serif"/>
          <w:i/>
          <w:sz w:val="20"/>
        </w:rPr>
        <w:t>Cloud Hash Rate</w:t>
      </w:r>
      <w:r>
        <w:rPr>
          <w:rFonts w:ascii="Times New Roman;Times;serif" w:hAnsi="Times New Roman;Times;serif"/>
          <w:sz w:val="20"/>
        </w:rPr>
        <w:t xml:space="preserve"> arrangements.</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Cloud Hosting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Through </w:t>
      </w:r>
      <w:r>
        <w:rPr>
          <w:rFonts w:ascii="Times New Roman;Times;serif" w:hAnsi="Times New Roman;Times;serif"/>
          <w:i/>
          <w:sz w:val="20"/>
        </w:rPr>
        <w:t>Cloud Hosting,</w:t>
      </w:r>
      <w:r>
        <w:rPr>
          <w:rFonts w:ascii="Times New Roman;Times;serif" w:hAnsi="Times New Roman;Times;serif"/>
          <w:sz w:val="20"/>
        </w:rPr>
        <w:t xml:space="preserve"> we provide our customers one-stop mining machines hosting solution that integrates the provision of computing power generated from the specified second-hand mining machines and the provision of maintenance service, which primarily includes electricity supply and daily maintenance and repair care. We charge our customers an upfront amount at the commencement of the </w:t>
      </w:r>
      <w:r>
        <w:rPr>
          <w:rFonts w:ascii="Times New Roman;Times;serif" w:hAnsi="Times New Roman;Times;serif"/>
          <w:i/>
          <w:sz w:val="20"/>
        </w:rPr>
        <w:t>Cloud Hosting</w:t>
      </w:r>
      <w:r>
        <w:rPr>
          <w:rFonts w:ascii="Times New Roman;Times;serif" w:hAnsi="Times New Roman;Times;serif"/>
          <w:sz w:val="20"/>
        </w:rPr>
        <w:t xml:space="preserve"> arrangements so the customers can secure the procurement of the computing power from the specified mining machines and the corresponding revenue is recognized ratably over the term of the service, which approximates to the life of the specified mining machines and is estimated to be two years, and maintenance service fee, based on the consumption of resources, such as electricity, and the corresponding revenue is recognized across each service cycle. The estimated life of these mining machines is reviewed at least at each financial year-end and adjusted if the expectation of the realization of economic benefits from the specified mining machines is different from the previous estimate. The </w:t>
      </w:r>
      <w:r>
        <w:rPr>
          <w:rFonts w:ascii="Times New Roman;Times;serif" w:hAnsi="Times New Roman;Times;serif"/>
          <w:i/>
          <w:sz w:val="20"/>
        </w:rPr>
        <w:t>Cloud Hosting</w:t>
      </w:r>
      <w:r>
        <w:rPr>
          <w:rFonts w:ascii="Times New Roman;Times;serif" w:hAnsi="Times New Roman;Times;serif"/>
          <w:sz w:val="20"/>
        </w:rPr>
        <w:t xml:space="preserve"> arrangements are offered under two modes. Under the classic mode, the customer receives all of the mining rewards from the mining pool. Under the accelerator mode, the customer is charged with a lower upfront amount and enjoys a quicker recovery of the costs. In exchange, we are entitled to additional consideration once a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We include such additional consideration in the transaction price and recognizes revenues when we can reasonably calculate the amount and determine it is probable a significant reversal will not occur. We did not generate any revenue from the additional consideration from </w:t>
      </w:r>
      <w:r>
        <w:rPr>
          <w:rFonts w:ascii="Times New Roman;Times;serif" w:hAnsi="Times New Roman;Times;serif"/>
          <w:i/>
          <w:sz w:val="20"/>
        </w:rPr>
        <w:t>Cloud Hosting</w:t>
      </w:r>
      <w:r>
        <w:rPr>
          <w:rFonts w:ascii="Times New Roman;Times;serif" w:hAnsi="Times New Roman;Times;serif"/>
          <w:sz w:val="20"/>
        </w:rPr>
        <w:t xml:space="preserve"> arrangements offered under the “accelerated payback mode” for the years ended December 31, 2020, 2021 and 2022. We historically only accept cryptocurrency as payments for services under the </w:t>
      </w:r>
      <w:r>
        <w:rPr>
          <w:rFonts w:ascii="Times New Roman;Times;serif" w:hAnsi="Times New Roman;Times;serif"/>
          <w:i/>
          <w:sz w:val="20"/>
        </w:rPr>
        <w:t>Cloud Hosting</w:t>
      </w:r>
      <w:r>
        <w:rPr>
          <w:rFonts w:ascii="Times New Roman;Times;serif" w:hAnsi="Times New Roman;Times;serif"/>
          <w:sz w:val="20"/>
        </w:rPr>
        <w:t xml:space="preserve"> arrangements. Under the </w:t>
      </w:r>
      <w:r>
        <w:rPr>
          <w:rFonts w:ascii="Times New Roman;Times;serif" w:hAnsi="Times New Roman;Times;serif"/>
          <w:i/>
          <w:sz w:val="20"/>
        </w:rPr>
        <w:t>Cloud Hosting</w:t>
      </w:r>
      <w:r>
        <w:rPr>
          <w:rFonts w:ascii="Times New Roman;Times;serif" w:hAnsi="Times New Roman;Times;serif"/>
          <w:sz w:val="20"/>
        </w:rPr>
        <w:t xml:space="preserve"> arrangements, our customers’ ability to direct the use of, and to obtain substantially all of the remaining benefits from, the mining machines is limited while the mining machines are in our possession. We have determined that we still retain control over the mining machines and consequently, the mining machines under the </w:t>
      </w:r>
      <w:r>
        <w:rPr>
          <w:rFonts w:ascii="Times New Roman;Times;serif" w:hAnsi="Times New Roman;Times;serif"/>
          <w:i/>
          <w:sz w:val="20"/>
        </w:rPr>
        <w:t>Cloud Hosting</w:t>
      </w:r>
      <w:r>
        <w:rPr>
          <w:rFonts w:ascii="Times New Roman;Times;serif" w:hAnsi="Times New Roman;Times;serif"/>
          <w:sz w:val="20"/>
        </w:rPr>
        <w:t xml:space="preserve"> arrangements were not derecognized from our book.</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General Hosting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provide </w:t>
      </w:r>
      <w:r>
        <w:rPr>
          <w:rFonts w:ascii="Times New Roman;Times;serif" w:hAnsi="Times New Roman;Times;serif"/>
          <w:i/>
          <w:sz w:val="20"/>
        </w:rPr>
        <w:t>General Hosting</w:t>
      </w:r>
      <w:r>
        <w:rPr>
          <w:rFonts w:ascii="Times New Roman;Times;serif" w:hAnsi="Times New Roman;Times;serif"/>
          <w:sz w:val="20"/>
        </w:rPr>
        <w:t xml:space="preserve"> services that enable our customers to run blockchain computing operations. The service fee is charged to our customers monthly on a consumption basis, such as the amount of electricity used in a period, based on the customer’s use of such resources. Revenue from the </w:t>
      </w:r>
      <w:r>
        <w:rPr>
          <w:rFonts w:ascii="Times New Roman;Times;serif" w:hAnsi="Times New Roman;Times;serif"/>
          <w:i/>
          <w:sz w:val="20"/>
        </w:rPr>
        <w:t>General Hosting</w:t>
      </w:r>
      <w:r>
        <w:rPr>
          <w:rFonts w:ascii="Times New Roman;Times;serif" w:hAnsi="Times New Roman;Times;serif"/>
          <w:sz w:val="20"/>
        </w:rPr>
        <w:t xml:space="preserve"> service is recognized across each service cycle. We accept both cryptocurrency and fiat currency as payments for the provision of custody and hosting service.</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Membership Hosting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offer </w:t>
      </w:r>
      <w:r>
        <w:rPr>
          <w:rFonts w:ascii="Times New Roman;Times;serif" w:hAnsi="Times New Roman;Times;serif"/>
          <w:i/>
          <w:sz w:val="20"/>
        </w:rPr>
        <w:t>Membership Hosting</w:t>
      </w:r>
      <w:r>
        <w:rPr>
          <w:rFonts w:ascii="Times New Roman;Times;serif" w:hAnsi="Times New Roman;Times;serif"/>
          <w:sz w:val="20"/>
        </w:rPr>
        <w:t xml:space="preserve"> services to our large-scale miner customers by entering into a series of contracts, which includes a membership program agreement and a management services agreement. These contracts are signed with the same customer at or near the same time, and they are combined and accounted for as a single contract.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Unlike </w:t>
      </w:r>
      <w:r>
        <w:rPr>
          <w:rFonts w:ascii="Times New Roman;Times;serif" w:hAnsi="Times New Roman;Times;serif"/>
          <w:i/>
          <w:sz w:val="20"/>
        </w:rPr>
        <w:t>General Hosting</w:t>
      </w:r>
      <w:r>
        <w:rPr>
          <w:rFonts w:ascii="Times New Roman;Times;serif" w:hAnsi="Times New Roman;Times;serif"/>
          <w:sz w:val="20"/>
        </w:rPr>
        <w:t xml:space="preserve"> where the customer’s access to mining datacenter capacity is subject to the availability of such capacity at the time the request was raised, a customer under </w:t>
      </w:r>
      <w:r>
        <w:rPr>
          <w:rFonts w:ascii="Times New Roman;Times;serif" w:hAnsi="Times New Roman;Times;serif"/>
          <w:i/>
          <w:sz w:val="20"/>
        </w:rPr>
        <w:t>Membership Hosting</w:t>
      </w:r>
      <w:r>
        <w:rPr>
          <w:rFonts w:ascii="Times New Roman;Times;serif" w:hAnsi="Times New Roman;Times;serif"/>
          <w:sz w:val="20"/>
        </w:rPr>
        <w:t xml:space="preserve"> will be designated of certain capacity (i.e., designated capacity) exclusive for use by such customer, by signing a standard membership program agreement. We also provide other program benefits, if available, to customers under </w:t>
      </w:r>
      <w:r>
        <w:rPr>
          <w:rFonts w:ascii="Times New Roman;Times;serif" w:hAnsi="Times New Roman;Times;serif"/>
          <w:i/>
          <w:sz w:val="20"/>
        </w:rPr>
        <w:t>Membership Hosting</w:t>
      </w:r>
      <w:r>
        <w:rPr>
          <w:rFonts w:ascii="Times New Roman;Times;serif" w:hAnsi="Times New Roman;Times;serif"/>
          <w:sz w:val="20"/>
        </w:rPr>
        <w:t>, including, among other things, (i) early, priority and exclusive access to the newly available mining datacenter capacity that is sufficient for large-scale miners, upon a new mining datacenter becomes available and (ii) more favorable pricing terms for our services, such as mining machine management services, than the prevailing price in the local market. We charge an upfront fee for such program benefits.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also provide management services, such as infrastructure, custody, and utility, for the mining machines of a </w:t>
      </w:r>
      <w:r>
        <w:rPr>
          <w:rFonts w:ascii="Times New Roman;Times;serif" w:hAnsi="Times New Roman;Times;serif"/>
          <w:i/>
          <w:sz w:val="20"/>
        </w:rPr>
        <w:t>Membership Hosting</w:t>
      </w:r>
      <w:r>
        <w:rPr>
          <w:rFonts w:ascii="Times New Roman;Times;serif" w:hAnsi="Times New Roman;Times;serif"/>
          <w:sz w:val="20"/>
        </w:rPr>
        <w:t xml:space="preserve"> customer up to designated capacity, pursuant to a separate management services agreement, and charge management services fee. We also charge additional fee, at our stand-alone selling price, for the subscription of our mining machine operation service. The management services fee and the mining machine operation fee, as applicable, are charged to the customer monthly based on the customer’s consumption of resources, such as the amount of electricity used in a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promises offered in the membership program agreement and management services agreement are not separately identifiable and treated as a single performance obligation recognized over a period of time. Revenue associated with the upfront fee for the program benefits is recognized over the program subscription period and revenue associated with the management service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We accept both cryptocurrency and fiat currency as payments for the membership hosting arrangements.</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Sales of Mining Machines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may engage in the sales of mining machines on hand from time to time, depending on market conditions, capacity availability in our mining datacenters and the availability of new-generation mining machines that are more efficient. While not part of our three primary business lines, we sell mining machines on hand when, based on our judgement, selling machines of older models can (i) facilitate cash payback while maintaining a reasonable profit range compared to utilizing them for our own operations and (ii) optimize the efficiency of our mining fleets. Factors we considered include market conditions, capacity availability in our mining datacenters and the availability of new-generation mining machines that are more efficient. We recognize revenue from sales of mining machines to customers at the point in time when control of the mining machines is transferred to our customers, which generally occurs upon shipment of the mining machines as defined in the contract. We accept both cryptocurrency and fiat currency as payments for mining machine purchase.</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Others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generate from other operations, mainly including the provision of technical and human resources service, repairment services of hosted mining machines, lease of investment properties and the sale of mining machine peripherals. The revenue generated from these operations was individually immaterial for all periods under discussion.</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Cost of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 consists primarily of (i) electricity expenses incurred for operating our mining machines in its revenue-generating activities, (ii) depreciation expense from the mining machines and datacenters hosting those mining machines, (iii) costs of mining machines sold to customers and (iv) compensation expenses incurred by mining datacenter personnel.</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Electricity Cost in Operating Mining Machines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incur electricity costs when (i) operating proprietary mining machines for cryptocurrency mining, (ii) generating hash rate for sales under </w:t>
      </w:r>
      <w:r>
        <w:rPr>
          <w:rFonts w:ascii="Times New Roman;Times;serif" w:hAnsi="Times New Roman;Times;serif"/>
          <w:i/>
          <w:sz w:val="20"/>
        </w:rPr>
        <w:t>Cloud Hash Rate</w:t>
      </w:r>
      <w:r>
        <w:rPr>
          <w:rFonts w:ascii="Times New Roman;Times;serif" w:hAnsi="Times New Roman;Times;serif"/>
          <w:sz w:val="20"/>
        </w:rPr>
        <w:t xml:space="preserve">, (iii) operating specified mining machines for customers under </w:t>
      </w:r>
      <w:r>
        <w:rPr>
          <w:rFonts w:ascii="Times New Roman;Times;serif" w:hAnsi="Times New Roman;Times;serif"/>
          <w:i/>
          <w:sz w:val="20"/>
        </w:rPr>
        <w:t xml:space="preserve">Cloud Hosting </w:t>
      </w:r>
      <w:r>
        <w:rPr>
          <w:rFonts w:ascii="Times New Roman;Times;serif" w:hAnsi="Times New Roman;Times;serif"/>
          <w:sz w:val="20"/>
        </w:rPr>
        <w:t xml:space="preserve">and (iv) operating customer-owned mining machines during the provision of </w:t>
      </w:r>
      <w:r>
        <w:rPr>
          <w:rFonts w:ascii="Times New Roman;Times;serif" w:hAnsi="Times New Roman;Times;serif"/>
          <w:i/>
          <w:sz w:val="20"/>
        </w:rPr>
        <w:t xml:space="preserve">General Hosting </w:t>
      </w:r>
      <w:r>
        <w:rPr>
          <w:rFonts w:ascii="Times New Roman;Times;serif" w:hAnsi="Times New Roman;Times;serif"/>
          <w:sz w:val="20"/>
        </w:rPr>
        <w:t xml:space="preserve">and </w:t>
      </w:r>
      <w:r>
        <w:rPr>
          <w:rFonts w:ascii="Times New Roman;Times;serif" w:hAnsi="Times New Roman;Times;serif"/>
          <w:i/>
          <w:sz w:val="20"/>
        </w:rPr>
        <w:t xml:space="preserve">Membership Hosting </w:t>
      </w:r>
      <w:r>
        <w:rPr>
          <w:rFonts w:ascii="Times New Roman;Times;serif" w:hAnsi="Times New Roman;Times;serif"/>
          <w:sz w:val="20"/>
        </w:rPr>
        <w:t>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Depreciation of Mining Machines and Mining Datacenters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on our mining machines is calculated using the straight-line method to allocate costs up to residual values over the estimated useful lives of the assets. We review the useful lives and residual values at least at each financial year-end and adjusted, if appropriate, to ensure that the method and rates of depreciation are consistent with the expected pattern of realization of economic benefits from mining machines. We estimate the useful lives of mining machines based on historical experience, taking into account anticipated technological changes. If there are significant changes from previously estimated useful lives, the amount of depreciation expenses may change.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useful life for mining machines was changed from one year to one to two years since the year ended December 31, 2021 for the mining machines of newer models that were purchased in 2021 as a result of the review conducted in July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of mining datacenters is calculated using the straight-line method based on the estimated useful lives of the assets comprised thereof, such as buildings, machinery, electronic equipment and leasehold improvement, and is recorded under depreciation of property, plant, and equipment. The depreciation method, useful life and residual value of these assets are reviewed at least at each financial year-end and adjusted if appropriate.</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Compensation Expenses Incurred by Mining Datacenter Personnel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expenses incurred by mining datacenter personnel consists primarily of (i) share- based payment expenses related to mining datacenter personnel as a result of the grant of options under the 2021 Share Incentive Plan and (ii) staff costs, including salaries, wages and other benefits in relation to mining datacenter personnel.</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Cost of Mining Machines Sold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 of mining machines sold is incurred when we sell our mining machines that have been used for our business operations. It is recognized at the net book value of the associated mining machines.</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Gross Profit/(Loss)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profit or loss is primarily affected by (i) Bitcoin prices, which have a significant and direct effect on the amount of revenue we recognized from our operations, (ii) depreciation of mining machines, which is directly related to the mining machine purchases we made, (iii) electricity costs, (iv) staff cost, including salaries, wages and other benefits and (v) share-based payment expenses.</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Operating Expenses/(Income)</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Selling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expenses primarily consist of (i) staff costs, including wages, bonuses and benefits to sales personnel, (ii) promotional expenses, which primarily represent expenses incurred for online and offline marketing activities and other promotional activities to reach more customers, and (iii) share-based payment expenses related to marketing personnel.</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and administrative expenses primarily consist of (i) staff costs, including wages, bonuses and benefits to general and administrative personnel, (ii) consulting service expenses, (iii) share-based payment expenses related to administrative personnel, (iv) insurance expenditure, and (v) travel expenses and office expenses incurred during our daily operation.</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research and development expenses primarily consist of (i) staff costs, including wages, bonuses and benefits to research and development personnel, and (ii) share-based payment expenses related to research and development personnel. We invest significant research and development resources in improving technology related to our </w:t>
      </w:r>
      <w:r>
        <w:rPr>
          <w:rFonts w:ascii="Times New Roman;Times;serif" w:hAnsi="Times New Roman;Times;serif"/>
          <w:i/>
          <w:sz w:val="20"/>
        </w:rPr>
        <w:t xml:space="preserve">Cloud Hash Rate </w:t>
      </w:r>
      <w:r>
        <w:rPr>
          <w:rFonts w:ascii="Times New Roman;Times;serif" w:hAnsi="Times New Roman;Times;serif"/>
          <w:sz w:val="20"/>
        </w:rPr>
        <w:t xml:space="preserve">business including hash rate slicing, developing </w:t>
      </w:r>
      <w:r>
        <w:rPr>
          <w:rFonts w:ascii="Times New Roman;Times;serif" w:hAnsi="Times New Roman;Times;serif"/>
          <w:i/>
          <w:sz w:val="20"/>
        </w:rPr>
        <w:t xml:space="preserve">Hash Rate Marketplace </w:t>
      </w:r>
      <w:r>
        <w:rPr>
          <w:rFonts w:ascii="Times New Roman;Times;serif" w:hAnsi="Times New Roman;Times;serif"/>
          <w:sz w:val="20"/>
        </w:rPr>
        <w:t xml:space="preserve">and improve our </w:t>
      </w:r>
      <w:r>
        <w:rPr>
          <w:rFonts w:ascii="Times New Roman;Times;serif" w:hAnsi="Times New Roman;Times;serif"/>
          <w:i/>
          <w:sz w:val="20"/>
        </w:rPr>
        <w:t xml:space="preserve">Minerplus </w:t>
      </w:r>
      <w:r>
        <w:rPr>
          <w:rFonts w:ascii="Times New Roman;Times;serif" w:hAnsi="Times New Roman;Times;serif"/>
          <w:sz w:val="20"/>
        </w:rPr>
        <w:t>features like virus detection and hash rate monitoring. We also spent R&amp;D efforts on utilizing renewable energy and increasing energy efficiency.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Other Operating Income/(Expenses)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other operating income/expenses primarily consist of (i) net gain/losses on disposal of cryptocurrencies, (ii) net loss on disposal of mining machine and (iii) write-off of receivables from a related party.</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Other Net Gain/(Loss)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net gain/loss primarily consist of (i) loss in fair value change of financial assets at fair value through profit or loss, (ii) net gain on disposal of other financial assets, (iii) net gain on disposal of property, plant and equipment and intangible assets, (iv) impairment loss of a pre-matured investment, and (v) net gain on settlement of balances between Bitmain.</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summarizes our results of operations, revenue breakdown, and expenses by nature for the years ended December 31, 2020, 2021 and 2022. This information should be read together with our consolidated financial statements and related notes included elsewhere in this annual report. The results of operations in any particular period are not necessarily indicative of our future trends.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results of operations for the years indicated:</w:t>
      </w:r>
    </w:p>
    <w:tbl>
      <w:tblPr>
        <w:tblW w:w="6847" w:type="dxa"/>
        <w:jc w:val="left"/>
        <w:tblInd w:w="0" w:type="dxa"/>
        <w:tblCellMar>
          <w:top w:w="0" w:type="dxa"/>
          <w:left w:w="0" w:type="dxa"/>
          <w:bottom w:w="0" w:type="dxa"/>
          <w:right w:w="0" w:type="dxa"/>
        </w:tblCellMar>
      </w:tblPr>
      <w:tblGrid>
        <w:gridCol w:w="3121"/>
        <w:gridCol w:w="326"/>
        <w:gridCol w:w="901"/>
        <w:gridCol w:w="326"/>
        <w:gridCol w:w="901"/>
        <w:gridCol w:w="326"/>
        <w:gridCol w:w="946"/>
      </w:tblGrid>
      <w:tr>
        <w:trPr/>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981835" cy="175260"/>
                      <wp:effectExtent l="0" t="0" r="0" b="0"/>
                      <wp:wrapNone/>
                      <wp:docPr id="49" name="Frame48"/>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2135" cy="175260"/>
                      <wp:effectExtent l="0" t="0" r="0" b="0"/>
                      <wp:wrapNone/>
                      <wp:docPr id="51" name="Frame5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2135" cy="175260"/>
                      <wp:effectExtent l="0" t="0" r="0" b="0"/>
                      <wp:wrapNone/>
                      <wp:docPr id="53" name="Frame5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00710" cy="175260"/>
                      <wp:effectExtent l="0" t="0" r="0" b="0"/>
                      <wp:wrapNone/>
                      <wp:docPr id="55" name="Frame5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(Restated)</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84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4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186,387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394,661</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333,342</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(209,564)</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(153,255)</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(250,090)</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Gross profit/(loss)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(23,177)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241,406</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83,252</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(5,567)</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(8,448)</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(11,683)</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(20,268)</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(89,735)</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(93,453)</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(9,790)</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(29,501)</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(35,430)</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incomes /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14,625</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(3,628)</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net gain / (loss)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Profit / (loss) from operations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(63,407)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130,830</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(60,585)</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income /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Profit / (loss) before taxation</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(63,787)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130,889</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(64,766)</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7,961</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(48,246)</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Profit / (loss) for the year</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(55,826)</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82,643</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(60,366)</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sets forth a breakdown of our revenue, for the years indicated.</w:t>
      </w:r>
    </w:p>
    <w:tbl>
      <w:tblPr>
        <w:tblW w:w="10205" w:type="dxa"/>
        <w:jc w:val="left"/>
        <w:tblInd w:w="0" w:type="dxa"/>
        <w:tblCellMar>
          <w:top w:w="0" w:type="dxa"/>
          <w:left w:w="0" w:type="dxa"/>
          <w:bottom w:w="0" w:type="dxa"/>
          <w:right w:w="0" w:type="dxa"/>
        </w:tblCellMar>
      </w:tblPr>
      <w:tblGrid>
        <w:gridCol w:w="4538"/>
        <w:gridCol w:w="326"/>
        <w:gridCol w:w="691"/>
        <w:gridCol w:w="326"/>
        <w:gridCol w:w="511"/>
        <w:gridCol w:w="326"/>
        <w:gridCol w:w="691"/>
        <w:gridCol w:w="326"/>
        <w:gridCol w:w="511"/>
        <w:gridCol w:w="326"/>
        <w:gridCol w:w="691"/>
        <w:gridCol w:w="326"/>
        <w:gridCol w:w="616"/>
      </w:tblGrid>
      <w:tr>
        <w:trPr/>
        <w:tc>
          <w:tcPr>
            <w:tcW w:w="45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881630" cy="175260"/>
                      <wp:effectExtent l="0" t="0" r="0" b="0"/>
                      <wp:wrapNone/>
                      <wp:docPr id="56" name="Frame55"/>
                      <a:graphic xmlns:a="http://schemas.openxmlformats.org/drawingml/2006/main">
                        <a:graphicData uri="http://schemas.microsoft.com/office/word/2010/wordprocessingShape">
                          <wps:wsp>
                            <wps:cNvSpPr txBox="1"/>
                            <wps:spPr>
                              <a:xfrm>
                                <a:off x="0" y="0"/>
                                <a:ext cx="2881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24485" cy="175260"/>
                      <wp:effectExtent l="0" t="0" r="0" b="0"/>
                      <wp:wrapNone/>
                      <wp:docPr id="60" name="Frame59"/>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8785" cy="175260"/>
                      <wp:effectExtent l="0" t="0" r="0" b="0"/>
                      <wp:wrapNone/>
                      <wp:docPr id="62" name="Frame6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24485" cy="175260"/>
                      <wp:effectExtent l="0" t="0" r="0" b="0"/>
                      <wp:wrapNone/>
                      <wp:docPr id="64" name="Frame6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91160" cy="175260"/>
                      <wp:effectExtent l="0" t="0" r="0" b="0"/>
                      <wp:wrapNone/>
                      <wp:docPr id="68" name="Frame67"/>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38"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534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r>
      <w:tr>
        <w:trPr/>
        <w:tc>
          <w:tcPr>
            <w:tcW w:w="4538"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528" w:type="dxa"/>
            <w:gridSpan w:val="3"/>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1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616" w:type="dxa"/>
            <w:tcBorders/>
            <w:shd w:fill="auto" w:val="clear"/>
            <w:vAlign w:val="center"/>
          </w:tcPr>
          <w:p>
            <w:pPr>
              <w:pStyle w:val="TableContents"/>
              <w:spacing w:before="0" w:after="0"/>
              <w:ind w:left="0" w:right="0" w:hanging="0"/>
              <w:rPr>
                <w:color w:val="231F20"/>
              </w:rPr>
            </w:pPr>
            <w:r>
              <w:rPr>
                <w:color w:val="231F20"/>
              </w:rPr>
              <w:t>​</w:t>
            </w:r>
          </w:p>
        </w:tc>
      </w:tr>
      <w:tr>
        <w:trPr/>
        <w:tc>
          <w:tcPr>
            <w:tcW w:w="4538"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5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(Restated)</w:t>
            </w:r>
          </w:p>
        </w:tc>
        <w:tc>
          <w:tcPr>
            <w:tcW w:w="326" w:type="dxa"/>
            <w:tcBorders/>
            <w:shd w:fill="auto" w:val="clear"/>
            <w:vAlign w:val="center"/>
          </w:tcPr>
          <w:p>
            <w:pPr>
              <w:pStyle w:val="TableContents"/>
              <w:spacing w:before="0" w:after="0"/>
              <w:ind w:left="0" w:right="0" w:hanging="0"/>
              <w:jc w:val="center"/>
              <w:rPr/>
            </w:pPr>
            <w:r>
              <w:rPr/>
              <w:t>​</w:t>
            </w:r>
          </w:p>
        </w:tc>
        <w:tc>
          <w:tcPr>
            <w:tcW w:w="15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6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4538"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538"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pPr>
            <w:r>
              <w:rPr/>
              <w:t> </w:t>
            </w:r>
          </w:p>
        </w:tc>
        <w:tc>
          <w:tcPr>
            <w:tcW w:w="5341" w:type="dxa"/>
            <w:gridSpan w:val="11"/>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except for percentages)</w:t>
            </w:r>
          </w:p>
        </w:tc>
      </w:tr>
      <w:tr>
        <w:trPr/>
        <w:tc>
          <w:tcPr>
            <w:tcW w:w="4538" w:type="dxa"/>
            <w:tcBorders/>
            <w:shd w:fill="CCEEFF" w:val="clear"/>
            <w:vAlign w:val="center"/>
          </w:tcPr>
          <w:p>
            <w:pPr>
              <w:pStyle w:val="TableContents"/>
              <w:pBdr/>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Revenue</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pPr>
            <w:r>
              <w:rPr/>
              <w:t>  </w:t>
            </w:r>
          </w:p>
        </w:tc>
      </w:tr>
      <w:tr>
        <w:trPr/>
        <w:tc>
          <w:tcPr>
            <w:tcW w:w="453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Proprietary mining</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88,493</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47.5</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191,693</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48.6</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62,359</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r>
      <w:tr>
        <w:trPr/>
        <w:tc>
          <w:tcPr>
            <w:tcW w:w="4538" w:type="dxa"/>
            <w:tcBorders/>
            <w:shd w:fill="CCEEFF" w:val="clear"/>
            <w:vAlign w:val="center"/>
          </w:tcPr>
          <w:p>
            <w:pPr>
              <w:pStyle w:val="TableContents"/>
              <w:pBdr/>
              <w:spacing w:before="0" w:after="0"/>
              <w:ind w:left="0" w:right="0" w:hanging="0"/>
              <w:rPr>
                <w:rFonts w:ascii="Times New Roman;Times;serif" w:hAnsi="Times New Roman;Times;serif"/>
                <w:i/>
                <w:sz w:val="16"/>
              </w:rPr>
            </w:pPr>
            <w:r>
              <w:rPr>
                <w:rFonts w:ascii="Times New Roman;Times;serif" w:hAnsi="Times New Roman;Times;serif"/>
                <w:i/>
                <w:sz w:val="16"/>
              </w:rPr>
              <w:t>Cloud hash rate</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78,288</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42.0</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124,205</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121,341</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r>
      <w:tr>
        <w:trPr/>
        <w:tc>
          <w:tcPr>
            <w:tcW w:w="453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Hash rate subscription</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31,389</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53,952</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77,862</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r>
      <w:tr>
        <w:trPr/>
        <w:tc>
          <w:tcPr>
            <w:tcW w:w="453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Electricity subscription</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45,242</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35,113</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39,525</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453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Additional consideration from </w:t>
            </w:r>
            <w:r>
              <w:rPr>
                <w:rFonts w:ascii="Times New Roman;Times;serif" w:hAnsi="Times New Roman;Times;serif"/>
                <w:i/>
                <w:sz w:val="16"/>
              </w:rPr>
              <w:t>Cloud Hash Rate</w:t>
            </w:r>
            <w:r>
              <w:rPr>
                <w:rFonts w:ascii="Times New Roman;Times;serif" w:hAnsi="Times New Roman;Times;serif"/>
                <w:sz w:val="16"/>
              </w:rPr>
              <w:t xml:space="preserve"> arrangements offered under accelerator mode</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1,657</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35,140</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3,954</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453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Sales of mining machines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15,844</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45,693</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705</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4538"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i/>
                <w:sz w:val="16"/>
              </w:rPr>
              <w:t>Cloud Hosting</w:t>
            </w:r>
            <w:r>
              <w:rPr>
                <w:rFonts w:ascii="Times New Roman;Times;serif" w:hAnsi="Times New Roman;Times;serif"/>
                <w:sz w:val="16"/>
              </w:rPr>
              <w:t xml:space="preserve"> arrangements</w:t>
            </w:r>
            <w:r>
              <w:rPr>
                <w:rFonts w:ascii="Times New Roman;Times;serif" w:hAnsi="Times New Roman;Times;serif"/>
                <w:sz w:val="12"/>
              </w:rPr>
              <w:t>(1)</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2,929</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7,568</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12,723</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4538" w:type="dxa"/>
            <w:tcBorders/>
            <w:shd w:fill="CCEEFF" w:val="clear"/>
            <w:vAlign w:val="center"/>
          </w:tcPr>
          <w:p>
            <w:pPr>
              <w:pStyle w:val="TableContents"/>
              <w:pBdr/>
              <w:spacing w:before="0" w:after="0"/>
              <w:ind w:left="0" w:right="0" w:hanging="0"/>
              <w:rPr>
                <w:rFonts w:ascii="Times New Roman;Times;serif" w:hAnsi="Times New Roman;Times;serif"/>
                <w:i/>
                <w:sz w:val="16"/>
              </w:rPr>
            </w:pPr>
            <w:r>
              <w:rPr>
                <w:rFonts w:ascii="Times New Roman;Times;serif" w:hAnsi="Times New Roman;Times;serif"/>
                <w:i/>
                <w:sz w:val="16"/>
              </w:rPr>
              <w:t>General Hosting</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18,312</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99,251</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29.8</w:t>
            </w:r>
          </w:p>
        </w:tc>
      </w:tr>
      <w:tr>
        <w:trPr/>
        <w:tc>
          <w:tcPr>
            <w:tcW w:w="4538" w:type="dxa"/>
            <w:tcBorders/>
            <w:shd w:fill="auto" w:val="clear"/>
            <w:vAlign w:val="center"/>
          </w:tcPr>
          <w:p>
            <w:pPr>
              <w:pStyle w:val="TableContents"/>
              <w:pBdr/>
              <w:spacing w:before="0" w:after="0"/>
              <w:ind w:left="0" w:right="0" w:hanging="0"/>
              <w:rPr>
                <w:rFonts w:ascii="Times New Roman;Times;serif" w:hAnsi="Times New Roman;Times;serif"/>
                <w:i/>
                <w:sz w:val="16"/>
              </w:rPr>
            </w:pPr>
            <w:r>
              <w:rPr>
                <w:rFonts w:ascii="Times New Roman;Times;serif" w:hAnsi="Times New Roman;Times;serif"/>
                <w:i/>
                <w:sz w:val="16"/>
              </w:rPr>
              <w:t>Membership hosting</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26,056</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4538"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Others</w:t>
            </w:r>
            <w:r>
              <w:rPr>
                <w:rFonts w:ascii="Times New Roman;Times;serif" w:hAnsi="Times New Roman;Times;serif"/>
                <w:sz w:val="12"/>
              </w:rPr>
              <w:t>(2)</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833</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7,190</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10,907</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r>
      <w:tr>
        <w:trPr/>
        <w:tc>
          <w:tcPr>
            <w:tcW w:w="4538"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 xml:space="preserve">Total revenue </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186,387</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394,661</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333,342</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100.0</w:t>
            </w:r>
          </w:p>
        </w:tc>
      </w:tr>
    </w:tbl>
    <w:p>
      <w:pPr>
        <w:pStyle w:val="TextBody"/>
        <w:spacing w:before="0" w:after="20"/>
        <w:ind w:left="5849"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6"/>
              </w:rPr>
              <w:t>(</w:t>
            </w:r>
            <w:r>
              <w:rPr>
                <w:rFonts w:ascii="Times New Roman;Times;serif" w:hAnsi="Times New Roman;Times;serif"/>
                <w:sz w:val="20"/>
              </w:rPr>
              <w:t>1)</w:t>
            </w:r>
          </w:p>
        </w:tc>
        <w:tc>
          <w:tcPr>
            <w:tcW w:w="99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 xml:space="preserve">We did not generate any revenue from the additional consideration from </w:t>
            </w:r>
            <w:r>
              <w:rPr>
                <w:rFonts w:ascii="Times New Roman;Times;serif" w:hAnsi="Times New Roman;Times;serif"/>
                <w:i/>
                <w:sz w:val="20"/>
              </w:rPr>
              <w:t xml:space="preserve">Cloud Hosting </w:t>
            </w:r>
            <w:r>
              <w:rPr>
                <w:rFonts w:ascii="Times New Roman;Times;serif" w:hAnsi="Times New Roman;Times;serif"/>
                <w:sz w:val="20"/>
              </w:rPr>
              <w:t>arrangements offered under “accelerated payback mode” for the years ended December 31, 2020, 2021 and 2022.</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988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Others include revenue generated primarily from providing technical and human resources service, repairment services of hosted mining machines, lease of investment properties, and the sale of mining machine peripherals.</w:t>
            </w:r>
          </w:p>
        </w:tc>
      </w:tr>
    </w:tbl>
    <w:p>
      <w:pPr>
        <w:pStyle w:val="TextBody"/>
        <w:spacing w:before="0" w:after="85"/>
        <w:ind w:left="0" w:right="0" w:firstLine="360"/>
        <w:rPr>
          <w:rFonts w:ascii="Times New Roman;Times;serif" w:hAnsi="Times New Roman;Times;serif"/>
          <w:sz w:val="20"/>
        </w:rPr>
      </w:pPr>
      <w:r>
        <w:rPr>
          <w:rFonts w:ascii="Times New Roman;Times;serif" w:hAnsi="Times New Roman;Times;serif"/>
          <w:sz w:val="20"/>
        </w:rPr>
        <w:t>The following table sets forth a breakdown by nature of our cost of revenue, selling, general and administrative, and research and development expenses for the years indicated.</w:t>
      </w:r>
    </w:p>
    <w:p>
      <w:pPr>
        <w:pStyle w:val="TextBody"/>
        <w:spacing w:before="0" w:after="20"/>
        <w:ind w:left="5849" w:right="0" w:hanging="0"/>
        <w:rPr/>
      </w:pPr>
      <w:r>
        <w:rPr/>
        <w:t>​</w:t>
      </w:r>
    </w:p>
    <w:tbl>
      <w:tblPr>
        <w:tblW w:w="10205" w:type="dxa"/>
        <w:jc w:val="left"/>
        <w:tblInd w:w="0" w:type="dxa"/>
        <w:tblCellMar>
          <w:top w:w="0" w:type="dxa"/>
          <w:left w:w="0" w:type="dxa"/>
          <w:bottom w:w="0" w:type="dxa"/>
          <w:right w:w="0" w:type="dxa"/>
        </w:tblCellMar>
      </w:tblPr>
      <w:tblGrid>
        <w:gridCol w:w="4088"/>
        <w:gridCol w:w="326"/>
        <w:gridCol w:w="781"/>
        <w:gridCol w:w="326"/>
        <w:gridCol w:w="571"/>
        <w:gridCol w:w="326"/>
        <w:gridCol w:w="781"/>
        <w:gridCol w:w="326"/>
        <w:gridCol w:w="571"/>
        <w:gridCol w:w="326"/>
        <w:gridCol w:w="781"/>
        <w:gridCol w:w="326"/>
        <w:gridCol w:w="676"/>
      </w:tblGrid>
      <w:tr>
        <w:trPr/>
        <w:tc>
          <w:tcPr>
            <w:tcW w:w="40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95880" cy="175260"/>
                      <wp:effectExtent l="0" t="0" r="0" b="0"/>
                      <wp:wrapNone/>
                      <wp:docPr id="69" name="Frame68"/>
                      <a:graphic xmlns:a="http://schemas.openxmlformats.org/drawingml/2006/main">
                        <a:graphicData uri="http://schemas.microsoft.com/office/word/2010/wordprocessingShape">
                          <wps:wsp>
                            <wps:cNvSpPr txBox="1"/>
                            <wps:spPr>
                              <a:xfrm>
                                <a:off x="0" y="0"/>
                                <a:ext cx="2595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3" name="Frame7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95935" cy="175260"/>
                      <wp:effectExtent l="0" t="0" r="0" b="0"/>
                      <wp:wrapNone/>
                      <wp:docPr id="75" name="Frame7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9260" cy="175260"/>
                      <wp:effectExtent l="0" t="0" r="0" b="0"/>
                      <wp:wrapNone/>
                      <wp:docPr id="81" name="Frame8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79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r>
      <w:tr>
        <w:trPr/>
        <w:tc>
          <w:tcPr>
            <w:tcW w:w="40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78" w:type="dxa"/>
            <w:gridSpan w:val="3"/>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676" w:type="dxa"/>
            <w:tcBorders/>
            <w:shd w:fill="auto" w:val="clear"/>
            <w:vAlign w:val="center"/>
          </w:tcPr>
          <w:p>
            <w:pPr>
              <w:pStyle w:val="TableContents"/>
              <w:spacing w:before="0" w:after="0"/>
              <w:ind w:left="0" w:right="0" w:hanging="0"/>
              <w:jc w:val="center"/>
              <w:rPr>
                <w:color w:val="231F20"/>
              </w:rPr>
            </w:pPr>
            <w:r>
              <w:rPr>
                <w:color w:val="231F20"/>
              </w:rPr>
              <w:t>​</w:t>
            </w:r>
          </w:p>
        </w:tc>
      </w:tr>
      <w:tr>
        <w:trPr/>
        <w:tc>
          <w:tcPr>
            <w:tcW w:w="40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(Restated)</w:t>
            </w:r>
          </w:p>
        </w:tc>
        <w:tc>
          <w:tcPr>
            <w:tcW w:w="326" w:type="dxa"/>
            <w:tcBorders/>
            <w:shd w:fill="auto" w:val="clear"/>
            <w:vAlign w:val="center"/>
          </w:tcPr>
          <w:p>
            <w:pPr>
              <w:pStyle w:val="TableContents"/>
              <w:spacing w:before="0" w:after="0"/>
              <w:ind w:left="0" w:right="0" w:hanging="0"/>
              <w:jc w:val="center"/>
              <w:rPr/>
            </w:pPr>
            <w:r>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7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40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0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91" w:type="dxa"/>
            <w:gridSpan w:val="11"/>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except for percentages)</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Staff costs: salaries, wages and other benefits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33,041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37,730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50,132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90,648</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Mining machines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98,136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43,857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29,281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9,807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14,416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30,438</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properties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1,237</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Electricity cost in operating mining machines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72,078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58,447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139,469</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mining machines sold</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Consulting service fee</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6,797</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and surcharge</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Advertising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3,124</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technical service fees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of low-value consumables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of variable payment lease</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of short-term leases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loss of mining machines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Logistic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Travel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Insurance fee</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3,446</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12,756</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08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cost of revenue, selling, general and administrative and research and development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245,189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280,939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390,656</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0"/>
        <w:ind w:left="0" w:right="0" w:hanging="0"/>
        <w:rPr/>
      </w:pPr>
      <w:r>
        <w:rPr/>
        <w:t>​</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Comparison of Years Ended December 31, 2021 and 2022</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revenue decreased by 15.6% from US$394.7 million for the year ended December 31, 2021 to US$333.3 million for the year ended December 31, 2022, primarily driven by (i) a decrease in revenue generated from proprietary mining, (ii) a decrease in revenue generated from sales of mining machines and (iii) a decrease in revenue generated from </w:t>
      </w:r>
      <w:r>
        <w:rPr>
          <w:rFonts w:ascii="Times New Roman;Times;serif" w:hAnsi="Times New Roman;Times;serif"/>
          <w:i/>
          <w:sz w:val="20"/>
        </w:rPr>
        <w:t>Cloud Hash Rate</w:t>
      </w:r>
      <w:r>
        <w:rPr>
          <w:rFonts w:ascii="Times New Roman;Times;serif" w:hAnsi="Times New Roman;Times;serif"/>
          <w:sz w:val="20"/>
        </w:rPr>
        <w:t xml:space="preserve">, partially offset by (i) an increase in revenue generated from </w:t>
      </w:r>
      <w:r>
        <w:rPr>
          <w:rFonts w:ascii="Times New Roman;Times;serif" w:hAnsi="Times New Roman;Times;serif"/>
          <w:i/>
          <w:sz w:val="20"/>
        </w:rPr>
        <w:t>Cloud Hosting</w:t>
      </w:r>
      <w:r>
        <w:rPr>
          <w:rFonts w:ascii="Times New Roman;Times;serif" w:hAnsi="Times New Roman;Times;serif"/>
          <w:sz w:val="20"/>
        </w:rPr>
        <w:t xml:space="preserve">, (ii) an increase in revenue generated from </w:t>
      </w:r>
      <w:r>
        <w:rPr>
          <w:rFonts w:ascii="Times New Roman;Times;serif" w:hAnsi="Times New Roman;Times;serif"/>
          <w:i/>
          <w:sz w:val="20"/>
        </w:rPr>
        <w:t>General Hosting</w:t>
      </w:r>
      <w:r>
        <w:rPr>
          <w:rFonts w:ascii="Times New Roman;Times;serif" w:hAnsi="Times New Roman;Times;serif"/>
          <w:sz w:val="20"/>
        </w:rPr>
        <w:t xml:space="preserve">, and (iii) </w:t>
      </w:r>
      <w:r>
        <w:rPr>
          <w:rFonts w:ascii="Times New Roman;Times;serif" w:hAnsi="Times New Roman;Times;serif"/>
          <w:i/>
          <w:sz w:val="20"/>
        </w:rPr>
        <w:t>Membership Hosting</w:t>
      </w:r>
      <w:r>
        <w:rPr>
          <w:rFonts w:ascii="Times New Roman;Times;serif" w:hAnsi="Times New Roman;Times;serif"/>
          <w:sz w:val="20"/>
        </w:rPr>
        <w:t xml:space="preserve"> which began to generate revenue in the second half of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Revenue generated from our proprietary mining business decreased by 67.4% from US$191.7 million for the year ended December 31, 2021 to US$62.4 million for the year ended December 31, 2022. The change was mainly driven by (i) the price drop of Bitcoin, the most significant type of cryptocurrency involved in our business operation and (ii) a decrease in the comparative number of Bitcoin mined from proprietary mining, resulting from a decrease in the amount of hash rate allocated to our proprietary mining business as a percentage of the total network hash rate. The hash rate used for proprietary mining, calculated on a twelve-month monthly average basis, was approximately 2.4EH/s for the year ended December 31, 2022, which slightly increased compared to 2.2EH/s for the year ended December 31, 2021. We expect to remain flexible in allocating hash rate between proprietary mining and hash rate sales through </w:t>
            </w:r>
            <w:r>
              <w:rPr>
                <w:rFonts w:ascii="Times New Roman;Times;serif" w:hAnsi="Times New Roman;Times;serif"/>
                <w:i/>
                <w:sz w:val="20"/>
              </w:rPr>
              <w:t>Cloud Hash Rate</w:t>
            </w:r>
            <w:r>
              <w:rPr>
                <w:rFonts w:ascii="Times New Roman;Times;serif" w:hAnsi="Times New Roman;Times;serif"/>
                <w:sz w:val="20"/>
              </w:rPr>
              <w:t>, depending on the market condition.</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Revenue generated from sales of mining machines decreased by 98.5% from US$45.7 million for the year ended December 31, 2021 to US$0.7 million for the year ended December 31, 2022, which was mainly attributable to a decrease in the number of mining machines we sold for the year ended December 31, 2022 as we had sold most of our mining machines of older models for the year ended December 31, 2021. We currently do not expect to sell mining machines in the near-future.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Revenue generated from </w:t>
            </w:r>
            <w:r>
              <w:rPr>
                <w:rFonts w:ascii="Times New Roman;Times;serif" w:hAnsi="Times New Roman;Times;serif"/>
                <w:i/>
                <w:sz w:val="20"/>
              </w:rPr>
              <w:t xml:space="preserve">Cloud Hash Rate </w:t>
            </w:r>
            <w:r>
              <w:rPr>
                <w:rFonts w:ascii="Times New Roman;Times;serif" w:hAnsi="Times New Roman;Times;serif"/>
                <w:sz w:val="20"/>
              </w:rPr>
              <w:t xml:space="preserve">decreased by 2.3% from US$124.2 million for the year ended December 31, 2021 to US$121.3 million for the year ended December 31, 2022, which was mainly attributable to an increase in (i) revenue from hash rate subscription and (ii) revenue from electricity subscription, offset by a decrease in revenue from additional consideration from acceleration plan arrangements. Sales price of hash rate subscription is primarily priced with reference to Bitcoin price and overall network hash rate at the time of sales and revenue generated from the subscription is recognized evenly over the duration of the subscription. As a result, revenue from hash rate subscription for the year ended December 31, 2022 did not only consist of new sales during the year ended December 31, 2022 but also the amortized revenue from sales before 2022 and that captured the Bitcoin price appreciation during 2021. With the gradual expiration of the hash rate subscription, we have also slightly decreased hash rate allocated to </w:t>
            </w:r>
            <w:r>
              <w:rPr>
                <w:rFonts w:ascii="Times New Roman;Times;serif" w:hAnsi="Times New Roman;Times;serif"/>
                <w:i/>
                <w:sz w:val="20"/>
              </w:rPr>
              <w:t>Cloud Hash Rate</w:t>
            </w:r>
            <w:r>
              <w:rPr>
                <w:rFonts w:ascii="Times New Roman;Times;serif" w:hAnsi="Times New Roman;Times;serif"/>
                <w:sz w:val="20"/>
              </w:rPr>
              <w:t xml:space="preserve">, calculated on a twelve-month monthly average basis, from 2.0EH/s for the year ended December 31, 2021 to 1.8EH/s for the year ended December 31, 2022. The increase in electricity subscription was as a result of increase in electricity price in 2022 for existing customers of </w:t>
            </w:r>
            <w:r>
              <w:rPr>
                <w:rFonts w:ascii="Times New Roman;Times;serif" w:hAnsi="Times New Roman;Times;serif"/>
                <w:i/>
                <w:sz w:val="20"/>
              </w:rPr>
              <w:t>Cloud Hash Rate</w:t>
            </w:r>
            <w:r>
              <w:rPr>
                <w:rFonts w:ascii="Times New Roman;Times;serif" w:hAnsi="Times New Roman;Times;serif"/>
                <w:sz w:val="20"/>
              </w:rPr>
              <w:t xml:space="preserve">. The decrease in revenue from additional consideration from </w:t>
            </w:r>
            <w:r>
              <w:rPr>
                <w:rFonts w:ascii="Times New Roman;Times;serif" w:hAnsi="Times New Roman;Times;serif"/>
                <w:i/>
                <w:sz w:val="20"/>
              </w:rPr>
              <w:t xml:space="preserve">Cloud Hash Rate </w:t>
            </w:r>
            <w:r>
              <w:rPr>
                <w:rFonts w:ascii="Times New Roman;Times;serif" w:hAnsi="Times New Roman;Times;serif"/>
                <w:sz w:val="20"/>
              </w:rPr>
              <w:t>arrangements offered under accelerator mode was due to the expiration of our existing revenue sharing arrangements subscribed in the prior year and a delay in reaching the condition for revenue sharing due to generally longer subscription periods and lower-than- expected mining rewards.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Revenue generated from </w:t>
            </w:r>
            <w:r>
              <w:rPr>
                <w:rFonts w:ascii="Times New Roman;Times;serif" w:hAnsi="Times New Roman;Times;serif"/>
                <w:i/>
                <w:sz w:val="20"/>
              </w:rPr>
              <w:t xml:space="preserve">Cloud Hosting </w:t>
            </w:r>
            <w:r>
              <w:rPr>
                <w:rFonts w:ascii="Times New Roman;Times;serif" w:hAnsi="Times New Roman;Times;serif"/>
                <w:sz w:val="20"/>
              </w:rPr>
              <w:t xml:space="preserve">increased by 67.1% from US$7.6 million for the year ended December 31, 2021 to US$12.7 million for the year ended December 31, 2022, which was primarily because nearly half of orders of </w:t>
            </w:r>
            <w:r>
              <w:rPr>
                <w:rFonts w:ascii="Times New Roman;Times;serif" w:hAnsi="Times New Roman;Times;serif"/>
                <w:i/>
                <w:sz w:val="20"/>
              </w:rPr>
              <w:t xml:space="preserve">Cloud Hosting </w:t>
            </w:r>
            <w:r>
              <w:rPr>
                <w:rFonts w:ascii="Times New Roman;Times;serif" w:hAnsi="Times New Roman;Times;serif"/>
                <w:sz w:val="20"/>
              </w:rPr>
              <w:t xml:space="preserve">in 2021 were subscribed in the second half of 2021, which contributed to the revenue in 2022, while nearly all orders of </w:t>
            </w:r>
            <w:r>
              <w:rPr>
                <w:rFonts w:ascii="Times New Roman;Times;serif" w:hAnsi="Times New Roman;Times;serif"/>
                <w:i/>
                <w:sz w:val="20"/>
              </w:rPr>
              <w:t xml:space="preserve">Cloud Hosting </w:t>
            </w:r>
            <w:r>
              <w:rPr>
                <w:rFonts w:ascii="Times New Roman;Times;serif" w:hAnsi="Times New Roman;Times;serif"/>
                <w:sz w:val="20"/>
              </w:rPr>
              <w:t>in 2022 contributed to the revenue in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Revenue generated from </w:t>
            </w:r>
            <w:r>
              <w:rPr>
                <w:rFonts w:ascii="Times New Roman;Times;serif" w:hAnsi="Times New Roman;Times;serif"/>
                <w:i/>
                <w:sz w:val="20"/>
              </w:rPr>
              <w:t xml:space="preserve">General Hosting </w:t>
            </w:r>
            <w:r>
              <w:rPr>
                <w:rFonts w:ascii="Times New Roman;Times;serif" w:hAnsi="Times New Roman;Times;serif"/>
                <w:sz w:val="20"/>
              </w:rPr>
              <w:t>increased significantly from US$18.3 million for the year ended December 31, 2021 to US$99.3 million for the year ended December 31, 2022, primarily driven by an increase in the mining site capacity as a result of the expansion of our mining datacenter operations.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We began to generate revenue from </w:t>
            </w:r>
            <w:r>
              <w:rPr>
                <w:rFonts w:ascii="Times New Roman;Times;serif" w:hAnsi="Times New Roman;Times;serif"/>
                <w:i/>
                <w:sz w:val="20"/>
              </w:rPr>
              <w:t xml:space="preserve">Membership Hosting </w:t>
            </w:r>
            <w:r>
              <w:rPr>
                <w:rFonts w:ascii="Times New Roman;Times;serif" w:hAnsi="Times New Roman;Times;serif"/>
                <w:sz w:val="20"/>
              </w:rPr>
              <w:t>in the second half of 2022 when our mining datacenter in North America began to deliver capacity, and recorded revenue in the amount of US$26.1 million for the year ended December 31, 2022.</w:t>
            </w:r>
          </w:p>
        </w:tc>
      </w:tr>
    </w:tbl>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Cost of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 increased by 63.1% from US$153.3 million for the year ended December 31, 2021 to US$250.1 million for the year ended December 31, 2022, primarily driven by an increase in (i) electricity cost in operating mining machines, (ii) salaries, wages and other benefits and (iii) depreciation of property, plant and equipment, partially offset by a decrease in (i) depreciation of mining machines and (ii) cost of mining machines sold and accessories sold.</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mining machines decreased by 33.3% from US$43.9 million for the year ended December 31, 2021 to US$29.3 million for the year ended December 31, 2022, primarily because (i) a significant number of the mining machines procured prior to 2021 as a result of our expanded hash rate capacity are fully depreciated by 2021, and (ii) we changed the useful life for mining machines from one year to two years for the mining machines of newer models that were purchased starting from July 2021, which leads to lower depreciation afterwards.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 in operating mining machines increased by 138.9% from US$58.4 million for the year ended December 31, 2021 to US$139.5 million for the year ended December 31, 2022, which was attributed to the increased overall energy consumption related to the expansion of our mining datacenter operations in North America and Norway.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mining machines sold and accessories sold decreased by 83.3% from US$6.0 million for the year ended December 31, 2021 to US$1.0 million for the year ended December 31, 2022, primarily driven by the decrease in the number of mining machines we sold for the year ended December 31, 2022 as we had sold most of our mining machines of older models for the year ended December 31, 2021. We currently do not expect to sell mining machines in the near-future.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wages and other benefits attributed to cost of revenue increased by 89.4% from US$9.4 million for the year ended December 31, 2021 to US$17.8 million for the year ended December 31,2022, which was due to the increase in employees and in salaries, wages and other benefits to attract and retain quality employees as a result of the expansion of our mining datacenter operations in North America.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attributed to cost of revenue increased by 114.3% from US$14.0 million for the year ended December 31, 2021 to US$30.0 million for the year ended December 31, 2022, primarily as a result of the expansion of our mining datacenters and mining facilities in North America and Norway.</w:t>
            </w:r>
          </w:p>
        </w:tc>
      </w:tr>
    </w:tbl>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Selling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expenses increased from US$8.4 million for the year ended December 31, 2021  to US$11.7 million for the year ended December 31, 2022, primarily due to (i) the US$2.3 million increase in share-based payment expenses as a result of the new grant of options to sales personnel in 2022 under the 2021 Share Incentive Plan approved in July 2021, and (ii) the US$0.4 million increase in staff costs, including salaries, wages and benefits to sales personnel.</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and administrative expenses increased by 4.2% from US$89.7 million for the year ended December 31, 2021 to US$93.5 million for the year ended December 31, 2022, primarily due to (i) the US$6.4 million increase in travel, insurance, utilities and other expenses related to our daily operation and (ii) the US$3.2 million increase in staff costs, including salaries, wages and benefits to general and administrative personnel, partially offset by the US$5.6 million decrease in share-based payment expenses as a result of the grant of option to administrative personnel under the 2021 Share Incentive Plan approved in July 2021 because most of the options were granted in 2021.</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expenses increased by 20.0% from US$29.5 million for the year ended December 31, 2021 to US$35.4 million for the year ended December 31, 2022, primarily attributable to the US$6.0 million increase in share-based payment expenses as a result of the new grant of option in 2022 to research and development personnel under the 2021 Share Incentive Plan approved in July 2021.</w:t>
      </w:r>
    </w:p>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Other Operating Income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generated other operating income of US$14.6 million and incurred other operating expenses of US$3.6 million for the year ended December 31, 2021 and 2022, respectively. This change was primarily because we recorded US$18.7 million gain on disposal of cryptocurrencies for the year ended December 31, 2021, compared to US$3.1 million loss on disposal of cryptocurrencies for the year ended December 31, 2022, which is associated with Bitcoin price drop prior to such disposal given we typically sell Bitcoins earned from our principal business lines within the next few days.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Other Net Gain/(Loss)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other net gain of US$0.36 million for the year ended December 31, 2022, which primarily included (i) net gains on disposal of property, plant and equipment and intangible assets of US$0.66 million and (ii) other gains of US$0.5 million, which mainly included return of wealth management product and other minor gains from disposal of investments in unlisted debt instruments, partially offset by the loss of US$0.8 million which mainly included the fair value change of investments in unlisted equity and debt instruments. We recorded other net gain of US$2.5 million for the year ended December 31, 2021, which primarily included a net gain of approximately US$4.5 million on settlement of balances with Bitmain, partially offset by a one-off impairment loss of approximately US$2.0 million resulting from a pre-mature investment.</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Profit/(Loss) from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foregoing, we recorded a loss from operations of US$60.6 million for the year ended December 31, 2022 and a profit from operations of US$130.8 million for the year ended December 31, 2021.</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Income Tax Benefit/(Expenses)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income tax expenses of US$48.2 million and income tax benefit of US$4.4 million for the year ended December 31, 2021 and 2022.</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Net Profit/(Loss)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foregoing, we incurred a net loss of US$60.4 million for the year ended December 31, 2022 and a net profit of US$82.6 million for the year ended December 31, 2021.</w:t>
      </w:r>
    </w:p>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Comparison of Years Ended December 31, 2020 and 2021</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increased by 111.7% from US$186.4 million for the year ended December 31, 2020 to US$394.7 million for the year ended December 31, 2021.</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from our proprietary mining business increased by 116.6% from US$88.5 million for the year ended December 31, 2020 to US$191.7 million for the year ended December 31, 2021. The change was mainly driven by price appreciation of Bitcoin, the most significant type of cryptocurrency involved in our business operation, partially offset by a decrease in the number of Bitcoin mined, primarily resulting from the Bitcoin halving event on May 11, 2020 and a slight decrease in the hash rate allocated to proprietary mining. The average price of Bitcoin for the year ended December 31, 2021 was US$47,385 compared to US$11,057 for the year ended December 31, 2020, representing an increase of 328.5%, according to Frost &amp; Sullivan. The hash rate used for proprietary mining, calculated on a twelve-month monthly average basis, was approximately 2.2EH/s for the year ended December 31, 2021, which was slightly decreased compared to 2.3EH/s for the year ended December 31, 2020.</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Revenue generated from </w:t>
            </w:r>
            <w:r>
              <w:rPr>
                <w:rFonts w:ascii="Times New Roman;Times;serif" w:hAnsi="Times New Roman;Times;serif"/>
                <w:b w:val="false"/>
                <w:i/>
                <w:sz w:val="20"/>
              </w:rPr>
              <w:t xml:space="preserve">Cloud Hash Rate </w:t>
            </w:r>
            <w:r>
              <w:rPr>
                <w:rFonts w:ascii="Times New Roman;Times;serif" w:hAnsi="Times New Roman;Times;serif"/>
                <w:b w:val="false"/>
                <w:i w:val="false"/>
                <w:caps w:val="false"/>
                <w:smallCaps w:val="false"/>
                <w:sz w:val="20"/>
              </w:rPr>
              <w:t xml:space="preserve">increased by 58.7% from US$78.3 million for the year ended December 31, 2020 to US$124.2 million for year ended December 31, 2021, which was mainly attributable to the increase in (i) revenue from additional consideration from acceleration plan arrangements and (ii) revenue from hash rate subscription, partially offset by a decrease in electricity charges as a result of lower hash rate allocated to </w:t>
            </w:r>
            <w:r>
              <w:rPr>
                <w:rFonts w:ascii="Times New Roman;Times;serif" w:hAnsi="Times New Roman;Times;serif"/>
                <w:b w:val="false"/>
                <w:i/>
                <w:sz w:val="20"/>
              </w:rPr>
              <w:t xml:space="preserve">Cloud Hash Rate </w:t>
            </w:r>
            <w:r>
              <w:rPr>
                <w:rFonts w:ascii="Times New Roman;Times;serif" w:hAnsi="Times New Roman;Times;serif"/>
                <w:b w:val="false"/>
                <w:i w:val="false"/>
                <w:caps w:val="false"/>
                <w:smallCaps w:val="false"/>
                <w:sz w:val="20"/>
              </w:rPr>
              <w:t xml:space="preserve">in 2021. The increase in revenue generated from additional consideration from acceleration plan arrangements was due to the launch of subscription plans under “accelerator mode” in 2020, an increase in the number of customers who recovered their investment costs in 2021 as well as Bitcoin price appreciation. The increase in revenue from hash rate subscription was mainly driven by the higher sales price of hash rate subscription and the higher demand for </w:t>
            </w:r>
            <w:r>
              <w:rPr>
                <w:rFonts w:ascii="Times New Roman;Times;serif" w:hAnsi="Times New Roman;Times;serif"/>
                <w:b w:val="false"/>
                <w:i/>
                <w:sz w:val="20"/>
              </w:rPr>
              <w:t>Cloud Hash Rate</w:t>
            </w:r>
            <w:r>
              <w:rPr>
                <w:rFonts w:ascii="Times New Roman;Times;serif" w:hAnsi="Times New Roman;Times;serif"/>
                <w:b w:val="false"/>
                <w:i w:val="false"/>
                <w:caps w:val="false"/>
                <w:smallCaps w:val="false"/>
                <w:sz w:val="20"/>
              </w:rPr>
              <w:t xml:space="preserve">, both of which were primarily attributable to (i) Bitcoin price appreciation, and (ii) our increased brand recognition as a result of our expanding scale of operations as well as diverse hash rate subscription plans and high-quality hash rate. The hash rate allocated to </w:t>
            </w:r>
            <w:r>
              <w:rPr>
                <w:rFonts w:ascii="Times New Roman;Times;serif" w:hAnsi="Times New Roman;Times;serif"/>
                <w:b w:val="false"/>
                <w:i/>
                <w:sz w:val="20"/>
              </w:rPr>
              <w:t>Cloud Hash Rate</w:t>
            </w:r>
            <w:r>
              <w:rPr>
                <w:rFonts w:ascii="Times New Roman;Times;serif" w:hAnsi="Times New Roman;Times;serif"/>
                <w:b w:val="false"/>
                <w:i w:val="false"/>
                <w:caps w:val="false"/>
                <w:smallCaps w:val="false"/>
                <w:sz w:val="20"/>
              </w:rPr>
              <w:t>, calculated on a twelve-month monthly average basis, was approximately 2.0EH/s for the year ended December 31, 2021, which was slightly decreased compared to 2.1EH/s for the year ended December 31, 2020.</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from sales of mining machines increased by 188.4% from US$15.8 million for the year ended December 31, 2020 to US$45.7 million for the year ended December 31, 2021, which was mainly attributable to the higher sales price of mining machines driven by Bitcoin price appreciation, offset by the decrease in the number of mining machines we sold in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Revenue generated from </w:t>
            </w:r>
            <w:r>
              <w:rPr>
                <w:rFonts w:ascii="Times New Roman;Times;serif" w:hAnsi="Times New Roman;Times;serif"/>
                <w:b w:val="false"/>
                <w:i/>
                <w:sz w:val="20"/>
              </w:rPr>
              <w:t xml:space="preserve">Cloud Hosting </w:t>
            </w:r>
            <w:r>
              <w:rPr>
                <w:rFonts w:ascii="Times New Roman;Times;serif" w:hAnsi="Times New Roman;Times;serif"/>
                <w:b w:val="false"/>
                <w:i w:val="false"/>
                <w:caps w:val="false"/>
                <w:smallCaps w:val="false"/>
                <w:sz w:val="20"/>
              </w:rPr>
              <w:t xml:space="preserve">increased by 158.4% from US$2.9 million for the year ended December 31, 2020 to US$7.6 million for the year ended December 31, 2021, which was mainly attributable to an increase in the customer base of </w:t>
            </w:r>
            <w:r>
              <w:rPr>
                <w:rFonts w:ascii="Times New Roman;Times;serif" w:hAnsi="Times New Roman;Times;serif"/>
                <w:b w:val="false"/>
                <w:i/>
                <w:sz w:val="20"/>
              </w:rPr>
              <w:t xml:space="preserve">Cloud Hosting </w:t>
            </w:r>
            <w:r>
              <w:rPr>
                <w:rFonts w:ascii="Times New Roman;Times;serif" w:hAnsi="Times New Roman;Times;serif"/>
                <w:b w:val="false"/>
                <w:i w:val="false"/>
                <w:caps w:val="false"/>
                <w:smallCaps w:val="false"/>
                <w:sz w:val="20"/>
              </w:rPr>
              <w:t xml:space="preserve">following the launch of </w:t>
            </w:r>
            <w:r>
              <w:rPr>
                <w:rFonts w:ascii="Times New Roman;Times;serif" w:hAnsi="Times New Roman;Times;serif"/>
                <w:b w:val="false"/>
                <w:i/>
                <w:sz w:val="20"/>
              </w:rPr>
              <w:t xml:space="preserve">Cloud Hosting </w:t>
            </w:r>
            <w:r>
              <w:rPr>
                <w:rFonts w:ascii="Times New Roman;Times;serif" w:hAnsi="Times New Roman;Times;serif"/>
                <w:b w:val="false"/>
                <w:i w:val="false"/>
                <w:caps w:val="false"/>
                <w:smallCaps w:val="false"/>
                <w:sz w:val="20"/>
              </w:rPr>
              <w:t>service in 2020.</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Revenue generated from </w:t>
            </w:r>
            <w:r>
              <w:rPr>
                <w:rFonts w:ascii="Times New Roman;Times;serif" w:hAnsi="Times New Roman;Times;serif"/>
                <w:b w:val="false"/>
                <w:i/>
                <w:sz w:val="20"/>
              </w:rPr>
              <w:t xml:space="preserve">General Hosting </w:t>
            </w:r>
            <w:r>
              <w:rPr>
                <w:rFonts w:ascii="Times New Roman;Times;serif" w:hAnsi="Times New Roman;Times;serif"/>
                <w:b w:val="false"/>
                <w:i w:val="false"/>
                <w:caps w:val="false"/>
                <w:smallCaps w:val="false"/>
                <w:sz w:val="20"/>
              </w:rPr>
              <w:t>increased from nil for the year ended December 31, 2020 to US$18.3 million for the year ended December 31, 2021, primarily driven by (i) professional miners’ higher demand for hosting services in 2021, (ii) the increase in mining site capacity as a result of the expansion of our mining datacenter operations and (iii) our efforts to attract more hosting customers to diversify our revenue stream.</w:t>
            </w:r>
          </w:p>
        </w:tc>
      </w:tr>
    </w:tbl>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Cost of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 decreased by 26.9% from US$209.6 million for the year ended December 31, 2020 to US$153.3 million for the year ended December 31, 2021, primarily driven by decrease in (i) depreciation of mining machines, (ii) the electricity cost in operating mining machines and (iii) cost of mining machine sold, partially offset by an increase in share-based payment expenses attributed to cost of revenue, increase in salaries, wages, and other benefits attributed to cost of revenue and increase in depreciation of property, plant and equipment attributed to cost of revenue.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mining machines decreased by 55.3% from US$98.1 million for the year ended December 31, 2020 to US$43.9 million for the year ended December 31, 2021, primarily because (i) the mining machines procured at the beginning of 2020 as a result of our expanded hash rate capacity contributed large depreciation amount for the year ended December 31, 2020, and are fully depreciated by the first half of 2021 as those mining machines were depreciated in one year on a straight-line basis, and (ii) we changed the useful life for mining machines from one year to one to two years for the mining machines of newer models that were purchased in 2021 starting from July 2021, which leads to lower depreciation for the year ended December 31,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 in operating mining machines decreased by 18.9% from US$72.1 million for the year ended December 31, 2020 to US$58.4 million for the year ended December 31, 2021, primarily driven by the lowered overall energy consumption of 39.2 j/T as of December 31, 2021, compared to 48 j/T as of December 31, 2020 for our mining machines, partially offset by the increase in managing hash rate calculated on a twelve-month average basis from approximately 4.6EH/s for the year ended December 31, 2020 to approximately 5.7EH/s for the year ended December 31,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mining machines sold decreased by 65.9% from US$17.5 million for the year ended December 31, 2020 to US$6.0 million for the year ended December 31, 2021, primarily driven by (i) the lower carrying book value of the mining machines sold in 2021 as the mining machines sold in 2021 were used for a longer period with most of their costs depreciated compared to the ones sold in 2020 and (ii) decrease in the number of mining machines sold in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expenses attributed to cost of revenue increased from nil for the year ended December 31, 2020 to US$10.4 million for the year ended December 31, 2021, which was due to the grant of options under the 2021 Share Incentive Plan to mining datacenter personnel in the second half of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wages and other benefits attributed to cost of revenue increased by 99.4% from US$4.7 million for the year ended December 31, 2020 to US$9.4 million for the year ended December 31, 2021, which was due to the increase in salaries, wages and other benefits to mining datacenter personnel as a result of the expansion of our mining datacenter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attributed to cost of revenue increased by 47.0% from US$9.5 million for the year ended December 31, 2020 to US$14.0 million for the year ended December 31, 2021, primarily attributable to our expansion of the mining datacenter.</w:t>
            </w:r>
          </w:p>
        </w:tc>
      </w:tr>
    </w:tbl>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Selling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expenses increased by 51.8% from US$5.6 million for the year ended December 31, 2020 to US$8.4 million for the year ended December 31, 2021, primarily due to the US$5.2 million increase in share- based payment expenses attributed to selling expense as a result of the grant of options to sales personnel under the 2021 Share Incentive Plan in the second half of 2021, partially offset by US$1.4 million decrease in staff costs, including salaries, wages and benefits to sales personnel and the US$1.3 million decrease in advertising expenses, as we conducted fewer marketing activities. As a result of price appreciation of Bitcoin, the most significant cryptocurrency involved in our business operation, and wider market recognition of our brand name, we are able to achieve satisfying sales performance without engaging in proactive marketing activities.</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general and administrative expenses increased by 342.7% from US$20.3 million for the year ended December 31, 2020 to US$89.7 million for the year ended December 31, 2021, primarily due to (i) US$54.5 million increase in share-based payment expenses attributed to general and administrative expenses as a result of the grant of option to administrative personnel under the 2021 Share Incentive Plan in the second half of 2021, (ii) US$7.5 million increase in consulting service fees attributed to general and administrative expenses charged by professional parties due to our efforts in capital market activities.</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expenses increased by 201.3% from US$9.8 million for the year ended December 31, 2020 to US$29.5 million for the year ended December 31, 2021, primarily attributable to (i) US$18.2 million increase in share-based payment expenses attributed to research and development expenses of as a result of the grant of options to research and development personnel under the 2021 Share Incentive Plan in the second half of 2021 and (ii) US$1.3 million increase in research and development technical service fees.</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Other Operating Income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other operating expenses of US$2.0 million and generated other operating income of US$14.6 million for the years ended December 31, 2020 and 2021, respectively. This change was primarily attributable to (i) US$16.0 million increase in net gain on disposal of cryptocurrencies for the year ended December 31, 2021, which is associated with Bitcoin price change prior to such disposal given we typically sell Bitcoins earned from our principal business lines within the next few days, (ii) US$3.7 million losses from change in fair value of cryptocurrencies lent, (iii) US$2.9 million decrease in net loss on disposal of mining machine at scrap value, as a result of fewer mining machines disposals in 2021 because the new mining machines we purchased in 2021 were of more recent models and in a more stable condition and (iv) US$2.0 million write-off of receivables from a related party for the year ended December 31, 2020, compared to nil for the year ended December 31, 2021.</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Other Net Gain/(Loss)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other net gain of US$2.5 million for the year ended December 31, 2021, compared to other net loss of US$2.6 million for the year ended December 31, 2020. This change was primarily due to (i) the net gain on settlement of balances between Bitmain of US$4.5 million for the year ended December 31, 2021 compared to nil for the year ended December 31, 2020 and (ii) an impairment of property, plant and equipment of US$2.2 million for the year ended December 31, 2020, compared to nil for the year ended December 31, 2021, partially offset by the impairment loss of a pre-matured investment of US$2.0 million associated with a forfeited investment project of US$2.0 million for the year ended December 31, 2021, while we did not conduct similar transaction or incur such cost for the year ended December 31, 2020.</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Profit/(Loss) from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foregoing, we recorded a loss from operations of US$63.4 million for the year ended December 31, 2020 and a profit from operations of US$130.8 million for the year ended December 31, 2021.</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Income Tax Benefit/(Expenses)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an income tax benefit of US$8.0 million for the year ended December 31, 2020 and an income tax expenses of US$48.2 million for the year ended December 31, 2021, primarily because we achieved profit before taxation of US$130.9 million for the year ended December 31, 2021, compared to loss before taxation of US$63.8 million for the year ended December 31, 2020.</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Net Profit/(Loss)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foregoing, we recorded a net loss of US$55.8 million for the year ended December 31, 2020 and a net profit of US$82.6 million for the year ended December 31, 2021.</w:t>
      </w:r>
    </w:p>
    <w:p>
      <w:pPr>
        <w:pStyle w:val="TextBody"/>
        <w:pBdr/>
        <w:spacing w:before="0" w:after="240"/>
        <w:ind w:left="0" w:right="0" w:hanging="72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cash and cash equivalents of US$231.4 million and fiat currency investment of US$31.1 million in unlisted debt instruments, redeemable on demand. Since our separation from Bitmain, we have financed our operations primarily with cash flow from disposal of cryptocurrencies earned from principal business operations. We believe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annual report. Our cash and cash equivalents decreased to US$231.4 million as of December 31, 2022 from US$372.1 million as of December 31, 2021, primarily attributable to our active construction of mining datacenters in North America and Norway, purchase of investment property assets through the acquisition of Asia Freeport Holdings Pte. Ltd. and investment in unlisted equity and debt instruments. Our cash and cash equivalents increased from US$44.8 million as of December 31, 2020 to US$372.1 million as of December 31, 2021, primarily attributable to the increase in adjusted EBITDA, which is a non-IFRS financial measure defined as earnings before interest, taxes, depreciation and amortization, further adjusted to exclude share-based payment expenses under IFRS 2. A reconciliation of profit/(loss), the most comparable IFRS measure, to adjusted EBITDA is set forth in “— Non-IFRS Financial Measures” above.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seen a material impact on our liquidity from events related to the COVID-19 pandemic.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material cash requirements as of December 31, 2022 and any subsequent interim period primarily include our purchase of plant, property and equipment, lease obligations, and borrowings. Other than those as discussed below, we did not have any significant capital and other commitments, long-term obligations or guarantees as of December 31,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Purchase of property, plant and equipment and intangible assets. Purchase of property, plant and equipment and intangible assets primarily consist of the purchase of machinery, equipment and other expenditure associated with mining datacenter construction and operations. The total cash outflow for the purchase of property, plant and equipment and intangible assets were US$19.9 million, US$62.9 million and US$63.2 million for the years ended 2020, 2021 and 2022. As of December 31, 2022, we had commitments that are scheduled to be paid within 12 months for the construction of mining datacenters of approximately US$8.3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Lease obligations. We occupy most of our office premises and certain mining datacenter under lease arrangements, which generally have an initial lease term between one and a half to seven years. Lease contracts are typically made for fixed periods but may have extension options. Any extension options in these leases have not been included in the lease liabilities unless we are reasonably certain to exercise the extension option. Periods after termination options are only included in the lease term if the lease is reasonably certain not to be terminated. The total cash outflow for leases, including the capital element of lease rentals paid and interests paid on leases for the years ended December 31, 2020, 2021 and 2022 was approximately US$5.4 million, US$5.4 million and US$6.3 million, respectively. As of December 31, 2022, lease liabilities mature based on contractual undiscounted payments within 12 months and over 12 months were US$7.5 million and US$80.6 million,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Borrowings. Our borrowings as of December 31, 2022 represented a commitment of US$29.8 million relating to the principal amount and interests in connection with the issuance of the Bitdeer Convertible Note, a US$30 million convertible note, on July 23, 2021, bearing an annual interest rate of 8%, which will mature on July 23,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primarily with our cash, short-term investment and anticipated proceeds from disposal of cryptocurrencies in connection with our principal business, which is classified as an investing activity. However, our future capital requirements will depend on many factors, including market acceptance of cryptocurrency, our growth, our ability to scale up our infrastructure and hash rate, our ability to effectively control costs, our ability to attract and retain customers, the continuing market acceptance of our offerings, expansion of sales and marketing activities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 acceptable to us or at all. If we are unable to raise additional capital when desired, our business, operations and financial condition could be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pBdr/>
        <w:spacing w:before="0" w:after="240"/>
        <w:ind w:left="0" w:right="0" w:hanging="72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our consolidated statements of cash flows for the years ended December 31, 2020, 2021 and 2022:</w:t>
      </w:r>
    </w:p>
    <w:tbl>
      <w:tblPr>
        <w:tblW w:w="9667" w:type="dxa"/>
        <w:jc w:val="left"/>
        <w:tblInd w:w="0" w:type="dxa"/>
        <w:tblCellMar>
          <w:top w:w="0" w:type="dxa"/>
          <w:left w:w="0" w:type="dxa"/>
          <w:bottom w:w="0" w:type="dxa"/>
          <w:right w:w="0" w:type="dxa"/>
        </w:tblCellMar>
      </w:tblPr>
      <w:tblGrid>
        <w:gridCol w:w="6046"/>
        <w:gridCol w:w="326"/>
        <w:gridCol w:w="901"/>
        <w:gridCol w:w="326"/>
        <w:gridCol w:w="796"/>
        <w:gridCol w:w="326"/>
        <w:gridCol w:w="946"/>
      </w:tblGrid>
      <w:tr>
        <w:trPr/>
        <w:tc>
          <w:tcPr>
            <w:tcW w:w="6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839210" cy="175260"/>
                      <wp:effectExtent l="0" t="0" r="0" b="0"/>
                      <wp:wrapNone/>
                      <wp:docPr id="82" name="Frame81"/>
                      <a:graphic xmlns:a="http://schemas.openxmlformats.org/drawingml/2006/main">
                        <a:graphicData uri="http://schemas.microsoft.com/office/word/2010/wordprocessingShape">
                          <wps:wsp>
                            <wps:cNvSpPr txBox="1"/>
                            <wps:spPr>
                              <a:xfrm>
                                <a:off x="0" y="0"/>
                                <a:ext cx="3839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72135" cy="175260"/>
                      <wp:effectExtent l="0" t="0" r="0" b="0"/>
                      <wp:wrapNone/>
                      <wp:docPr id="84" name="Frame8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05460" cy="175260"/>
                      <wp:effectExtent l="0" t="0" r="0" b="0"/>
                      <wp:wrapNone/>
                      <wp:docPr id="86" name="Frame8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00710" cy="175260"/>
                      <wp:effectExtent l="0" t="0" r="0" b="0"/>
                      <wp:wrapNone/>
                      <wp:docPr id="88" name="Frame87"/>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r>
      <w:tr>
        <w:trPr/>
        <w:tc>
          <w:tcPr>
            <w:tcW w:w="6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66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6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(109,176)</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(52,466)</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(268,037)</w:t>
            </w:r>
          </w:p>
        </w:tc>
      </w:tr>
      <w:tr>
        <w:trPr/>
        <w:tc>
          <w:tcPr>
            <w:tcW w:w="6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investing activities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62,742</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394,569</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133,793</w:t>
            </w:r>
          </w:p>
        </w:tc>
      </w:tr>
      <w:tr>
        <w:trPr/>
        <w:tc>
          <w:tcPr>
            <w:tcW w:w="6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 (used in) financing activities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30,776</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(14,426)</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r>
      <w:tr>
        <w:trPr/>
        <w:tc>
          <w:tcPr>
            <w:tcW w:w="6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 increase in cash and cash equivalents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(15,658)</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327,677</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(138,128)</w:t>
            </w:r>
          </w:p>
        </w:tc>
      </w:tr>
      <w:tr>
        <w:trPr/>
        <w:tc>
          <w:tcPr>
            <w:tcW w:w="6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the beginning of the period</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59,826</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44,753</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372,088</w:t>
            </w:r>
          </w:p>
        </w:tc>
      </w:tr>
      <w:tr>
        <w:trPr/>
        <w:tc>
          <w:tcPr>
            <w:tcW w:w="6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movements in exchange rates on cash and cash equivalents held</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(2,598)</w:t>
            </w:r>
          </w:p>
        </w:tc>
      </w:tr>
      <w:tr>
        <w:trPr/>
        <w:tc>
          <w:tcPr>
            <w:tcW w:w="6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the end of the year</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44,753</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372,088</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231,362</w:t>
            </w:r>
          </w:p>
        </w:tc>
      </w:tr>
    </w:tbl>
    <w:p>
      <w:pPr>
        <w:pStyle w:val="TextBody"/>
        <w:spacing w:before="0" w:after="0"/>
        <w:ind w:left="0" w:right="0" w:hanging="0"/>
        <w:rPr/>
      </w:pPr>
      <w:r>
        <w:rPr/>
        <w:t>​</w:t>
      </w:r>
    </w:p>
    <w:p>
      <w:pPr>
        <w:pStyle w:val="TextBody"/>
        <w:pBdr/>
        <w:spacing w:before="0" w:after="240"/>
        <w:ind w:left="0" w:right="0" w:hanging="720"/>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US$268.0 million for the year ended December 31, 2022. The difference between our net loss of US$60.4 million and the net cash used in operating activities was primarily attributable to (i) adjustments for revenues recognized on acceptance of cryptocurrencies of US$305.0 million, (ii) changes in prepayments and other assets of US$21.9 million primarily associated with deposits and prepayments made to suppliers following the expansion of our business during this period, (iii) changes in deferred revenue of US$9.2 million primarily associated with the recognition of revenue, (iv) income tax prepaid of US$20.0 million, and (v) an adjustment for income tax benefit of US$4.4 million, partially offset by (i) an adjustment for share-based payment expenses of US$90.6 million for the issuance of options following the adoption of the Bitdeer’s 2021 Share Incentive Plan in July 2021, and (ii) an adjustment for depreciation and amortization of US$66.4 million primarily relating to the depreciation of mining machines used in our principal business operations and property, plant and equipment used in connection with the expansion of our mining datacenters during this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US$52.5 million for the year ended December 31, 2021. The difference between our net profit of US$82.6 million and the net cash used in operating activities was primarily attributable to (i) adjustments for the revenue recognized  on  acceptance  of  cryptocurrencies  of  US$333.7 million and (ii) gain on disposal of cryptocurrencies of US$18.7 million, partially offset by (i) an adjustment for share-based payment expenses of US$88.4 million, (ii) an adjustment for depreciation and amortization of US$63.1 million primarily relating to the depreciation of mining machines used in our principal business operations and property, plant and equipment used in connection with the expansion of our mining datacenters during this period and (iii) an adjustment for income tax expenses of US$48.2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US$109.2 million in the year ended December 31, 2020. The difference between our net loss of US$55.8 million and the net cash used in operating activities was primarily attributable to an adjustment for revenue recognized on acceptance of cryptocurrencies of US$170.2 million, partially offset by an adjustment for depreciation and amortization of US$112.0 million primarily relating to the depreciation of mining machines used in our principal business operations and property, plant and equipment used in connection with the expansion of our mining datacenters during this period.</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from investing activities was US$133.8 million for the year ended December 31, 2022, primarily attributable to proceeds from disposal of cryptocurrencies of US$561.0 million, partially offset by (i) purchase of cryptocurrencies of US$286.0 million for investment (lending and purchase of wealth management product) purposes, (ii) purchase of property, plant and equipment and intangible assets of US$63.2 million, (iii) net fiat currency investment cash outflow of US$30.8 million in unlisted debt instruments, redeemable on demand, (iv) investment in unlisted equity instruments of  US$29.5 million and (v) cash paid for asset acquisition, net of cash acquired of US$26.7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from investing activities was US$394.6 million for the year ended December 31, 2021, primarily attributable to (i) proceeds from disposal of cryptocurrencies of US$568.6 million and (ii) repayments from related parties of US$21.7 million, partially offset by (i) purchase of property, plant and equipment and intangible assets of US$62.9 million, (ii) purchase of cryptocurrencies for loan and investment of US$60.0 million, (iii) loans to related parties of US$32.2 million and (iv) purchase of mining machines of US$26.6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from investing activities was US$62.7 million for the year ended December 31, 2020, primarily attributable to (i) repayments from related parties of US$194.4 million and (ii) proceeds from disposal of cryptocurrencies of US$173.1 million, partially offset by (i) loans to related parties  of US$161.0 million and (ii) purchase of mining machines of US$124.0 million.</w:t>
      </w:r>
    </w:p>
    <w:p>
      <w:pPr>
        <w:pStyle w:val="TextBody"/>
        <w:pBdr/>
        <w:spacing w:before="0" w:after="240"/>
        <w:ind w:left="0" w:right="0" w:hanging="360"/>
        <w:jc w:val="both"/>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was US$3.9 million for the year ended December 31, 2022, which was entirely attributable to capital element of lease rentals paid.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was US$14.4 million for the year ended December 31, 2021, which was attributable to (i) repayments of borrowing from related parties of US$29.3 million, (ii) deemed distribution to related parties of US$10.9 million and (iii) capital  element  of  lease  rentals  paid  of  US$4.2 million, offset by proceeds from convertible debt of US$30.0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from financing activities was US$30.8 million for the year ended December 31, 2020, primarily attributable to (i) capital contribution received from related party of US$420.0 million, as a result of our then-expected spin-off, and (ii) borrowings from related parties of US$9.2 million, offset by deemed distribution to related parties of US$394.8 million and capital element of lease rentals paid of US$4.5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from January 1, 2022, we adopted the following recently issued or amended standards. These new standards are not expected to have any significant impact on our financial statements:</w:t>
      </w:r>
    </w:p>
    <w:tbl>
      <w:tblPr>
        <w:tblW w:w="10205" w:type="dxa"/>
        <w:jc w:val="left"/>
        <w:tblInd w:w="0" w:type="dxa"/>
        <w:tblCellMar>
          <w:top w:w="0" w:type="dxa"/>
          <w:left w:w="0" w:type="dxa"/>
          <w:bottom w:w="0" w:type="dxa"/>
          <w:right w:w="0" w:type="dxa"/>
        </w:tblCellMar>
      </w:tblPr>
      <w:tblGrid>
        <w:gridCol w:w="6603"/>
        <w:gridCol w:w="326"/>
        <w:gridCol w:w="1377"/>
        <w:gridCol w:w="326"/>
        <w:gridCol w:w="1381"/>
        <w:gridCol w:w="192"/>
      </w:tblGrid>
      <w:tr>
        <w:trPr/>
        <w:tc>
          <w:tcPr>
            <w:tcW w:w="66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192905" cy="29210"/>
                      <wp:effectExtent l="0" t="0" r="0" b="0"/>
                      <wp:wrapNone/>
                      <wp:docPr id="89" name="Frame88"/>
                      <a:graphic xmlns:a="http://schemas.openxmlformats.org/drawingml/2006/main">
                        <a:graphicData uri="http://schemas.microsoft.com/office/word/2010/wordprocessingShape">
                          <wps:wsp>
                            <wps:cNvSpPr txBox="1"/>
                            <wps:spPr>
                              <a:xfrm>
                                <a:off x="0" y="0"/>
                                <a:ext cx="41929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29210"/>
                      <wp:effectExtent l="0" t="0" r="0" b="0"/>
                      <wp:wrapNone/>
                      <wp:docPr id="90" name="Frame89"/>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377"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29210"/>
                      <wp:effectExtent l="0" t="0" r="0" b="0"/>
                      <wp:wrapNone/>
                      <wp:docPr id="91" name="Frame90"/>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p>
        </w:tc>
        <w:tc>
          <w:tcPr>
            <w:tcW w:w="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1920" cy="29210"/>
                      <wp:effectExtent l="0" t="0" r="0" b="0"/>
                      <wp:wrapNone/>
                      <wp:docPr id="92" name="Frame91"/>
                      <a:graphic xmlns:a="http://schemas.openxmlformats.org/drawingml/2006/main">
                        <a:graphicData uri="http://schemas.microsoft.com/office/word/2010/wordprocessingShape">
                          <wps:wsp>
                            <wps:cNvSpPr txBox="1"/>
                            <wps:spPr>
                              <a:xfrm>
                                <a:off x="0" y="0"/>
                                <a:ext cx="1219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660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Standard/Interpretation</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13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color w:val="231F20"/>
                <w:sz w:val="16"/>
              </w:rPr>
              <w:t>Application</w:t>
            </w:r>
            <w:r>
              <w:rPr>
                <w:rFonts w:ascii="Times New Roman;Times;serif" w:hAnsi="Times New Roman;Times;serif"/>
                <w:color w:val="231F20"/>
                <w:spacing w:val="-20"/>
                <w:sz w:val="16"/>
              </w:rPr>
              <w:t> </w:t>
            </w:r>
            <w:r>
              <w:rPr>
                <w:rFonts w:ascii="Times New Roman;Times;serif" w:hAnsi="Times New Roman;Times;serif"/>
                <w:b/>
                <w:color w:val="231F20"/>
                <w:spacing w:val="-5"/>
                <w:sz w:val="16"/>
              </w:rPr>
              <w:t>Date </w:t>
              <w:br/>
            </w:r>
            <w:r>
              <w:rPr>
                <w:rFonts w:ascii="Times New Roman;Times;serif" w:hAnsi="Times New Roman;Times;serif"/>
                <w:b/>
                <w:color w:val="231F20"/>
                <w:sz w:val="16"/>
              </w:rPr>
              <w:t>of</w:t>
            </w:r>
            <w:r>
              <w:rPr>
                <w:rFonts w:ascii="Times New Roman;Times;serif" w:hAnsi="Times New Roman;Times;serif"/>
                <w:color w:val="231F20"/>
                <w:spacing w:val="3"/>
                <w:sz w:val="16"/>
              </w:rPr>
              <w:t> </w:t>
            </w:r>
            <w:r>
              <w:rPr>
                <w:rFonts w:ascii="Times New Roman;Times;serif" w:hAnsi="Times New Roman;Times;serif"/>
                <w:b/>
                <w:color w:val="231F20"/>
                <w:sz w:val="16"/>
              </w:rPr>
              <w:t>Standard</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    </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Application Date </w:t>
              <w:br/>
              <w:t>for our group</w:t>
            </w:r>
          </w:p>
        </w:tc>
        <w:tc>
          <w:tcPr>
            <w:tcW w:w="192"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r>
      <w:tr>
        <w:trPr/>
        <w:tc>
          <w:tcPr>
            <w:tcW w:w="6603"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IFRS 1, Subsidiary as a</w:t>
            </w:r>
            <w:r>
              <w:rPr>
                <w:rFonts w:ascii="Times New Roman;Times;serif" w:hAnsi="Times New Roman;Times;serif"/>
                <w:color w:val="231F20"/>
                <w:spacing w:val="48"/>
                <w:sz w:val="20"/>
              </w:rPr>
              <w:t xml:space="preserve"> </w:t>
            </w:r>
            <w:r>
              <w:rPr>
                <w:rFonts w:ascii="Times New Roman;Times;serif" w:hAnsi="Times New Roman;Times;serif"/>
                <w:color w:val="231F20"/>
                <w:sz w:val="20"/>
              </w:rPr>
              <w:t>First-time</w:t>
            </w:r>
            <w:r>
              <w:rPr>
                <w:rFonts w:ascii="Times New Roman;Times;serif" w:hAnsi="Times New Roman;Times;serif"/>
                <w:color w:val="231F20"/>
                <w:spacing w:val="7"/>
                <w:sz w:val="20"/>
              </w:rPr>
              <w:t xml:space="preserve"> </w:t>
            </w:r>
            <w:r>
              <w:rPr>
                <w:rFonts w:ascii="Times New Roman;Times;serif" w:hAnsi="Times New Roman;Times;serif"/>
                <w:color w:val="231F20"/>
                <w:sz w:val="20"/>
              </w:rPr>
              <w:t>Adopter</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77"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326" w:type="dxa"/>
            <w:tcBorders/>
            <w:shd w:fill="CCEEFF" w:val="clear"/>
            <w:vAlign w:val="center"/>
          </w:tcPr>
          <w:p>
            <w:pPr>
              <w:pStyle w:val="TableContents"/>
              <w:spacing w:before="0" w:after="0"/>
              <w:ind w:left="0" w:right="0" w:hanging="0"/>
              <w:jc w:val="center"/>
              <w:rPr>
                <w:color w:val="231F20"/>
                <w:spacing w:val="-3"/>
              </w:rPr>
            </w:pPr>
            <w:r>
              <w:rPr>
                <w:color w:val="231F20"/>
                <w:spacing w:val="-3"/>
              </w:rPr>
              <w:t>​</w:t>
            </w:r>
          </w:p>
        </w:tc>
        <w:tc>
          <w:tcPr>
            <w:tcW w:w="138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192"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660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IFRS 9, Derecognition of</w:t>
            </w:r>
            <w:r>
              <w:rPr>
                <w:rFonts w:ascii="Times New Roman;Times;serif" w:hAnsi="Times New Roman;Times;serif"/>
                <w:color w:val="231F20"/>
                <w:spacing w:val="35"/>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Liabilities</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7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326" w:type="dxa"/>
            <w:tcBorders/>
            <w:shd w:fill="auto" w:val="clear"/>
            <w:vAlign w:val="center"/>
          </w:tcPr>
          <w:p>
            <w:pPr>
              <w:pStyle w:val="TableContents"/>
              <w:spacing w:before="0" w:after="0"/>
              <w:ind w:left="0" w:right="0" w:hanging="0"/>
              <w:jc w:val="center"/>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192" w:type="dxa"/>
            <w:tcBorders/>
            <w:shd w:fill="auto" w:val="clear"/>
            <w:vAlign w:val="center"/>
          </w:tcPr>
          <w:p>
            <w:pPr>
              <w:pStyle w:val="TableContents"/>
              <w:spacing w:before="0" w:after="0"/>
              <w:ind w:left="0" w:right="0" w:hanging="0"/>
              <w:rPr>
                <w:color w:val="231F20"/>
                <w:spacing w:val="-3"/>
              </w:rPr>
            </w:pPr>
            <w:r>
              <w:rPr>
                <w:color w:val="231F20"/>
                <w:spacing w:val="-3"/>
              </w:rPr>
              <w:t>​</w:t>
            </w:r>
          </w:p>
        </w:tc>
      </w:tr>
      <w:tr>
        <w:trPr/>
        <w:tc>
          <w:tcPr>
            <w:tcW w:w="660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IFRS 3, Reference to the</w:t>
            </w:r>
            <w:r>
              <w:rPr>
                <w:rFonts w:ascii="Times New Roman;Times;serif" w:hAnsi="Times New Roman;Times;serif"/>
                <w:color w:val="231F20"/>
                <w:spacing w:val="45"/>
                <w:sz w:val="20"/>
              </w:rPr>
              <w:t xml:space="preserve"> </w:t>
            </w:r>
            <w:r>
              <w:rPr>
                <w:rFonts w:ascii="Times New Roman;Times;serif" w:hAnsi="Times New Roman;Times;serif"/>
                <w:color w:val="231F20"/>
                <w:sz w:val="20"/>
              </w:rPr>
              <w:t>Conceptual</w:t>
            </w:r>
            <w:r>
              <w:rPr>
                <w:rFonts w:ascii="Times New Roman;Times;serif" w:hAnsi="Times New Roman;Times;serif"/>
                <w:color w:val="231F20"/>
                <w:spacing w:val="6"/>
                <w:sz w:val="20"/>
              </w:rPr>
              <w:t xml:space="preserve"> </w:t>
            </w:r>
            <w:r>
              <w:rPr>
                <w:rFonts w:ascii="Times New Roman;Times;serif" w:hAnsi="Times New Roman;Times;serif"/>
                <w:color w:val="231F20"/>
                <w:spacing w:val="-3"/>
                <w:sz w:val="20"/>
              </w:rPr>
              <w:t>Framework</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77"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326" w:type="dxa"/>
            <w:tcBorders/>
            <w:shd w:fill="CCEEFF" w:val="clear"/>
            <w:vAlign w:val="center"/>
          </w:tcPr>
          <w:p>
            <w:pPr>
              <w:pStyle w:val="TableContents"/>
              <w:spacing w:before="0" w:after="0"/>
              <w:ind w:left="0" w:right="0" w:hanging="0"/>
              <w:jc w:val="center"/>
              <w:rPr>
                <w:color w:val="231F20"/>
                <w:spacing w:val="-3"/>
              </w:rPr>
            </w:pPr>
            <w:r>
              <w:rPr>
                <w:color w:val="231F20"/>
                <w:spacing w:val="-3"/>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192"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6603"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Amendments to IAS 16, Property, Plant and Equipment: Proceeds before Intended Use</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7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326" w:type="dxa"/>
            <w:tcBorders/>
            <w:shd w:fill="auto" w:val="clear"/>
            <w:vAlign w:val="center"/>
          </w:tcPr>
          <w:p>
            <w:pPr>
              <w:pStyle w:val="TableContents"/>
              <w:spacing w:before="0" w:after="0"/>
              <w:ind w:left="0" w:right="0" w:hanging="0"/>
              <w:jc w:val="center"/>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192" w:type="dxa"/>
            <w:tcBorders/>
            <w:shd w:fill="auto" w:val="clear"/>
            <w:vAlign w:val="center"/>
          </w:tcPr>
          <w:p>
            <w:pPr>
              <w:pStyle w:val="TableContents"/>
              <w:spacing w:before="0" w:after="0"/>
              <w:ind w:left="0" w:right="0" w:hanging="0"/>
              <w:rPr>
                <w:color w:val="231F20"/>
                <w:spacing w:val="-3"/>
              </w:rPr>
            </w:pPr>
            <w:r>
              <w:rPr>
                <w:color w:val="231F20"/>
                <w:spacing w:val="-3"/>
              </w:rPr>
              <w:t>​</w:t>
            </w:r>
          </w:p>
        </w:tc>
      </w:tr>
      <w:tr>
        <w:trPr/>
        <w:tc>
          <w:tcPr>
            <w:tcW w:w="6603"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Amendments to IAS 37, Onerous Contracts – Cost of Fulfilling a Contract</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77"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326" w:type="dxa"/>
            <w:tcBorders/>
            <w:shd w:fill="CCEEFF" w:val="clear"/>
            <w:vAlign w:val="center"/>
          </w:tcPr>
          <w:p>
            <w:pPr>
              <w:pStyle w:val="TableContents"/>
              <w:spacing w:before="0" w:after="0"/>
              <w:ind w:left="0" w:right="0" w:hanging="0"/>
              <w:jc w:val="center"/>
              <w:rPr>
                <w:color w:val="231F20"/>
                <w:spacing w:val="-3"/>
              </w:rPr>
            </w:pPr>
            <w:r>
              <w:rPr>
                <w:color w:val="231F20"/>
                <w:spacing w:val="-3"/>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2022</w:t>
            </w:r>
          </w:p>
        </w:tc>
        <w:tc>
          <w:tcPr>
            <w:tcW w:w="192" w:type="dxa"/>
            <w:tcBorders/>
            <w:shd w:fill="CCEEFF" w:val="clear"/>
            <w:vAlign w:val="center"/>
          </w:tcPr>
          <w:p>
            <w:pPr>
              <w:pStyle w:val="TableContents"/>
              <w:spacing w:before="0" w:after="0"/>
              <w:ind w:left="0" w:right="0" w:hanging="0"/>
              <w:rPr>
                <w:color w:val="231F20"/>
                <w:spacing w:val="-3"/>
              </w:rPr>
            </w:pPr>
            <w:r>
              <w:rPr>
                <w:color w:val="231F20"/>
                <w:spacing w:val="-3"/>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Up to the date of issue of these financial statements, the IASB has issued a number of amendments and a new standard, IFRS 17, Insurance contracts, which are not yet effective for the year ended December 31, 2021 and which have not been adopted in these financial statements. We are in the process of making an assessment of what the impact of these new and amended standards and interpretations would be in the period of initial application. So far, we have concluded that the adoption of them is unlikely to have a significant impact on our financial position.</w:t>
      </w:r>
    </w:p>
    <w:tbl>
      <w:tblPr>
        <w:tblW w:w="10205" w:type="dxa"/>
        <w:jc w:val="left"/>
        <w:tblInd w:w="0" w:type="dxa"/>
        <w:tblCellMar>
          <w:top w:w="0" w:type="dxa"/>
          <w:left w:w="0" w:type="dxa"/>
          <w:bottom w:w="0" w:type="dxa"/>
          <w:right w:w="0" w:type="dxa"/>
        </w:tblCellMar>
      </w:tblPr>
      <w:tblGrid>
        <w:gridCol w:w="8307"/>
        <w:gridCol w:w="326"/>
        <w:gridCol w:w="1381"/>
        <w:gridCol w:w="191"/>
      </w:tblGrid>
      <w:tr>
        <w:trPr/>
        <w:tc>
          <w:tcPr>
            <w:tcW w:w="8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274945" cy="29210"/>
                      <wp:effectExtent l="0" t="0" r="0" b="0"/>
                      <wp:wrapNone/>
                      <wp:docPr id="93" name="Frame92"/>
                      <a:graphic xmlns:a="http://schemas.openxmlformats.org/drawingml/2006/main">
                        <a:graphicData uri="http://schemas.microsoft.com/office/word/2010/wordprocessingShape">
                          <wps:wsp>
                            <wps:cNvSpPr txBox="1"/>
                            <wps:spPr>
                              <a:xfrm>
                                <a:off x="0" y="0"/>
                                <a:ext cx="527494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29210"/>
                      <wp:effectExtent l="0" t="0" r="0" b="0"/>
                      <wp:wrapNone/>
                      <wp:docPr id="94" name="Frame93"/>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1285" cy="29210"/>
                      <wp:effectExtent l="0" t="0" r="0" b="0"/>
                      <wp:wrapNone/>
                      <wp:docPr id="95" name="Frame94"/>
                      <a:graphic xmlns:a="http://schemas.openxmlformats.org/drawingml/2006/main">
                        <a:graphicData uri="http://schemas.microsoft.com/office/word/2010/wordprocessingShape">
                          <wps:wsp>
                            <wps:cNvSpPr txBox="1"/>
                            <wps:spPr>
                              <a:xfrm>
                                <a:off x="0" y="0"/>
                                <a:ext cx="1212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30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Standard/Interpretation</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Application Date </w:t>
              <w:br/>
              <w:t>for our group</w:t>
            </w:r>
          </w:p>
        </w:tc>
        <w:tc>
          <w:tcPr>
            <w:tcW w:w="191"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r>
      <w:tr>
        <w:trPr/>
        <w:tc>
          <w:tcPr>
            <w:tcW w:w="8307"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IFRS</w:t>
            </w:r>
            <w:r>
              <w:rPr>
                <w:rFonts w:ascii="Times New Roman;Times;serif" w:hAnsi="Times New Roman;Times;serif"/>
                <w:color w:val="231F20"/>
                <w:spacing w:val="-21"/>
                <w:sz w:val="20"/>
              </w:rPr>
              <w:t xml:space="preserve"> </w:t>
            </w:r>
            <w:r>
              <w:rPr>
                <w:rFonts w:ascii="Times New Roman;Times;serif" w:hAnsi="Times New Roman;Times;serif"/>
                <w:color w:val="231F20"/>
                <w:sz w:val="20"/>
              </w:rPr>
              <w:t>17,</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Insurance</w:t>
            </w:r>
            <w:r>
              <w:rPr>
                <w:rFonts w:ascii="Times New Roman;Times;serif" w:hAnsi="Times New Roman;Times;serif"/>
                <w:color w:val="231F20"/>
                <w:spacing w:val="-20"/>
                <w:sz w:val="20"/>
              </w:rPr>
              <w:t xml:space="preserve"> </w:t>
            </w:r>
            <w:r>
              <w:rPr>
                <w:rFonts w:ascii="Times New Roman;Times;serif" w:hAnsi="Times New Roman;Times;serif"/>
                <w:color w:val="231F20"/>
                <w:sz w:val="20"/>
              </w:rPr>
              <w:t>Contracts</w:t>
            </w:r>
            <w:r>
              <w:rPr>
                <w:rFonts w:ascii="Times New Roman;Times;serif" w:hAnsi="Times New Roman;Times;serif"/>
                <w:color w:val="231F20"/>
                <w:spacing w:val="-2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1"/>
                <w:sz w:val="20"/>
              </w:rPr>
              <w:t xml:space="preserve"> </w:t>
            </w:r>
            <w:r>
              <w:rPr>
                <w:rFonts w:ascii="Times New Roman;Times;serif" w:hAnsi="Times New Roman;Times;serif"/>
                <w:color w:val="231F20"/>
                <w:sz w:val="20"/>
              </w:rPr>
              <w:t>Amendments</w:t>
            </w:r>
            <w:r>
              <w:rPr>
                <w:rFonts w:ascii="Times New Roman;Times;serif" w:hAnsi="Times New Roman;Times;serif"/>
                <w:color w:val="231F20"/>
                <w:spacing w:val="-20"/>
                <w:sz w:val="20"/>
              </w:rPr>
              <w:t xml:space="preserve"> </w:t>
            </w:r>
            <w:r>
              <w:rPr>
                <w:rFonts w:ascii="Times New Roman;Times;serif" w:hAnsi="Times New Roman;Times;serif"/>
                <w:color w:val="231F20"/>
                <w:sz w:val="20"/>
              </w:rPr>
              <w:t>to</w:t>
            </w:r>
            <w:r>
              <w:rPr>
                <w:rFonts w:ascii="Times New Roman;Times;serif" w:hAnsi="Times New Roman;Times;serif"/>
                <w:color w:val="231F20"/>
                <w:spacing w:val="-21"/>
                <w:sz w:val="20"/>
              </w:rPr>
              <w:t xml:space="preserve"> </w:t>
            </w:r>
            <w:r>
              <w:rPr>
                <w:rFonts w:ascii="Times New Roman;Times;serif" w:hAnsi="Times New Roman;Times;serif"/>
                <w:color w:val="231F20"/>
                <w:sz w:val="20"/>
              </w:rPr>
              <w:t>Address</w:t>
            </w:r>
            <w:r>
              <w:rPr>
                <w:rFonts w:ascii="Times New Roman;Times;serif" w:hAnsi="Times New Roman;Times;serif"/>
                <w:color w:val="231F20"/>
                <w:spacing w:val="-20"/>
                <w:sz w:val="20"/>
              </w:rPr>
              <w:t xml:space="preserve"> </w:t>
            </w:r>
            <w:r>
              <w:rPr>
                <w:rFonts w:ascii="Times New Roman;Times;serif" w:hAnsi="Times New Roman;Times;serif"/>
                <w:color w:val="231F20"/>
                <w:sz w:val="20"/>
              </w:rPr>
              <w:t>Concerns</w:t>
            </w:r>
            <w:r>
              <w:rPr>
                <w:rFonts w:ascii="Times New Roman;Times;serif" w:hAnsi="Times New Roman;Times;serif"/>
                <w:color w:val="231F20"/>
                <w:spacing w:val="-21"/>
                <w:sz w:val="20"/>
              </w:rPr>
              <w:t xml:space="preserve"> </w:t>
            </w:r>
            <w:r>
              <w:rPr>
                <w:rFonts w:ascii="Times New Roman;Times;serif" w:hAnsi="Times New Roman;Times;serif"/>
                <w:color w:val="231F20"/>
                <w:sz w:val="20"/>
              </w:rPr>
              <w:t>and Implementation</w:t>
            </w:r>
            <w:r>
              <w:rPr>
                <w:rFonts w:ascii="Times New Roman;Times;serif" w:hAnsi="Times New Roman;Times;serif"/>
                <w:color w:val="231F20"/>
                <w:spacing w:val="-8"/>
                <w:sz w:val="20"/>
              </w:rPr>
              <w:t xml:space="preserve"> </w:t>
            </w:r>
            <w:r>
              <w:rPr>
                <w:rFonts w:ascii="Times New Roman;Times;serif" w:hAnsi="Times New Roman;Times;serif"/>
                <w:color w:val="231F20"/>
                <w:sz w:val="20"/>
              </w:rPr>
              <w:t>Challenges</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8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IFRS 4, Expiry Date of 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Deferral</w:t>
            </w:r>
            <w:r>
              <w:rPr>
                <w:rFonts w:ascii="Times New Roman;Times;serif" w:hAnsi="Times New Roman;Times;serif"/>
                <w:color w:val="231F20"/>
                <w:spacing w:val="5"/>
                <w:sz w:val="20"/>
              </w:rPr>
              <w:t xml:space="preserve"> </w:t>
            </w:r>
            <w:r>
              <w:rPr>
                <w:rFonts w:ascii="Times New Roman;Times;serif" w:hAnsi="Times New Roman;Times;serif"/>
                <w:color w:val="231F20"/>
                <w:sz w:val="20"/>
              </w:rPr>
              <w:t>Approach</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auto"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IAS 1, Making</w:t>
            </w:r>
            <w:r>
              <w:rPr>
                <w:rFonts w:ascii="Times New Roman;Times;serif" w:hAnsi="Times New Roman;Times;serif"/>
                <w:color w:val="231F20"/>
                <w:spacing w:val="10"/>
                <w:sz w:val="20"/>
              </w:rPr>
              <w:t xml:space="preserve"> </w:t>
            </w:r>
            <w:r>
              <w:rPr>
                <w:rFonts w:ascii="Times New Roman;Times;serif" w:hAnsi="Times New Roman;Times;serif"/>
                <w:color w:val="231F20"/>
                <w:sz w:val="20"/>
              </w:rPr>
              <w:t>Materiality</w:t>
            </w:r>
            <w:r>
              <w:rPr>
                <w:rFonts w:ascii="Times New Roman;Times;serif" w:hAnsi="Times New Roman;Times;serif"/>
                <w:color w:val="231F20"/>
                <w:spacing w:val="2"/>
                <w:sz w:val="20"/>
              </w:rPr>
              <w:t xml:space="preserve"> </w:t>
            </w:r>
            <w:r>
              <w:rPr>
                <w:rFonts w:ascii="Times New Roman;Times;serif" w:hAnsi="Times New Roman;Times;serif"/>
                <w:color w:val="231F20"/>
                <w:sz w:val="20"/>
              </w:rPr>
              <w:t>Judgement</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Amendments to IAS 1 and IFRS Practice Statement 2, Disclosure of Accounting Policies</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auto"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IAS 8, Definition of</w:t>
            </w:r>
            <w:r>
              <w:rPr>
                <w:rFonts w:ascii="Times New Roman;Times;serif" w:hAnsi="Times New Roman;Times;serif"/>
                <w:color w:val="231F20"/>
                <w:spacing w:val="33"/>
                <w:sz w:val="20"/>
              </w:rPr>
              <w:t xml:space="preserve"> </w:t>
            </w:r>
            <w:r>
              <w:rPr>
                <w:rFonts w:ascii="Times New Roman;Times;serif" w:hAnsi="Times New Roman;Times;serif"/>
                <w:color w:val="231F20"/>
                <w:sz w:val="20"/>
              </w:rPr>
              <w:t>Accounting</w:t>
            </w:r>
            <w:r>
              <w:rPr>
                <w:rFonts w:ascii="Times New Roman;Times;serif" w:hAnsi="Times New Roman;Times;serif"/>
                <w:color w:val="231F20"/>
                <w:spacing w:val="2"/>
                <w:sz w:val="20"/>
              </w:rPr>
              <w:t xml:space="preserve"> </w:t>
            </w:r>
            <w:r>
              <w:rPr>
                <w:rFonts w:ascii="Times New Roman;Times;serif" w:hAnsi="Times New Roman;Times;serif"/>
                <w:color w:val="231F20"/>
                <w:sz w:val="20"/>
              </w:rPr>
              <w:t>Estimates</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 xml:space="preserve">Amendments to IAS 12, Deferred </w:t>
            </w:r>
            <w:r>
              <w:rPr>
                <w:rFonts w:ascii="Times New Roman;Times;serif" w:hAnsi="Times New Roman;Times;serif"/>
                <w:color w:val="231F20"/>
                <w:spacing w:val="-5"/>
                <w:sz w:val="20"/>
              </w:rPr>
              <w:t xml:space="preserve">Tax </w:t>
            </w:r>
            <w:r>
              <w:rPr>
                <w:rFonts w:ascii="Times New Roman;Times;serif" w:hAnsi="Times New Roman;Times;serif"/>
                <w:color w:val="231F20"/>
                <w:sz w:val="20"/>
              </w:rPr>
              <w:t>related to Assets and Liabilities arising from a Single Transaction</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auto"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Initial Application of IFRS 17 and IFRS 9 –</w:t>
            </w:r>
            <w:r>
              <w:rPr>
                <w:rFonts w:ascii="Times New Roman;Times;serif" w:hAnsi="Times New Roman;Times;serif"/>
                <w:color w:val="231F20"/>
                <w:spacing w:val="31"/>
                <w:sz w:val="20"/>
              </w:rPr>
              <w:t xml:space="preserve"> </w:t>
            </w:r>
            <w:r>
              <w:rPr>
                <w:rFonts w:ascii="Times New Roman;Times;serif" w:hAnsi="Times New Roman;Times;serif"/>
                <w:color w:val="231F20"/>
                <w:sz w:val="20"/>
              </w:rPr>
              <w:t>Comparative</w:t>
            </w:r>
            <w:r>
              <w:rPr>
                <w:rFonts w:ascii="Times New Roman;Times;serif" w:hAnsi="Times New Roman;Times;serif"/>
                <w:color w:val="231F20"/>
                <w:spacing w:val="6"/>
                <w:sz w:val="20"/>
              </w:rPr>
              <w:t xml:space="preserve"> </w:t>
            </w:r>
            <w:r>
              <w:rPr>
                <w:rFonts w:ascii="Times New Roman;Times;serif" w:hAnsi="Times New Roman;Times;serif"/>
                <w:color w:val="231F20"/>
                <w:sz w:val="20"/>
              </w:rPr>
              <w:t>Information</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2023</w:t>
            </w:r>
          </w:p>
        </w:tc>
        <w:tc>
          <w:tcPr>
            <w:tcW w:w="191"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Amendments to IAS 1, Classification of Liabilities as Current or Non-current and Disclosure of Accounting Policies</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2024</w:t>
            </w:r>
          </w:p>
        </w:tc>
        <w:tc>
          <w:tcPr>
            <w:tcW w:w="191" w:type="dxa"/>
            <w:tcBorders/>
            <w:shd w:fill="auto"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color w:val="231F20"/>
                <w:sz w:val="20"/>
              </w:rPr>
              <w:t>Amendments to IAS 1, Classification of Debt</w:t>
            </w:r>
            <w:r>
              <w:rPr>
                <w:rFonts w:ascii="Times New Roman;Times;serif" w:hAnsi="Times New Roman;Times;serif"/>
                <w:color w:val="231F20"/>
                <w:spacing w:val="-27"/>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
                <w:sz w:val="20"/>
              </w:rPr>
              <w:t xml:space="preserve"> </w:t>
            </w:r>
            <w:r>
              <w:rPr>
                <w:rFonts w:ascii="Times New Roman;Times;serif" w:hAnsi="Times New Roman;Times;serif"/>
                <w:color w:val="231F20"/>
                <w:sz w:val="20"/>
              </w:rPr>
              <w:t>Covenants</w:t>
            </w:r>
          </w:p>
        </w:tc>
        <w:tc>
          <w:tcPr>
            <w:tcW w:w="326" w:type="dxa"/>
            <w:tcBorders/>
            <w:shd w:fill="CCEEFF"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2024</w:t>
            </w:r>
          </w:p>
        </w:tc>
        <w:tc>
          <w:tcPr>
            <w:tcW w:w="191" w:type="dxa"/>
            <w:tcBorders/>
            <w:shd w:fill="CCEEFF" w:val="clear"/>
            <w:vAlign w:val="center"/>
          </w:tcPr>
          <w:p>
            <w:pPr>
              <w:pStyle w:val="TableContents"/>
              <w:spacing w:before="0" w:after="0"/>
              <w:ind w:left="0" w:right="0" w:hanging="0"/>
              <w:rPr>
                <w:color w:val="231F20"/>
                <w:spacing w:val="-3"/>
              </w:rPr>
            </w:pPr>
            <w:r>
              <w:rPr>
                <w:color w:val="231F20"/>
                <w:spacing w:val="-3"/>
              </w:rPr>
              <w:t>​</w:t>
            </w:r>
          </w:p>
        </w:tc>
      </w:tr>
      <w:tr>
        <w:trPr/>
        <w:tc>
          <w:tcPr>
            <w:tcW w:w="8307"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Amendments to IFRS 16, Subsequent Measurement of Sale and Leaseback Transactions by a Seller-lessee</w:t>
            </w:r>
          </w:p>
        </w:tc>
        <w:tc>
          <w:tcPr>
            <w:tcW w:w="326" w:type="dxa"/>
            <w:tcBorders/>
            <w:shd w:fill="auto" w:val="clear"/>
            <w:vAlign w:val="center"/>
          </w:tcPr>
          <w:p>
            <w:pPr>
              <w:pStyle w:val="TableContents"/>
              <w:spacing w:before="0" w:after="0"/>
              <w:ind w:left="0" w:right="0" w:hanging="0"/>
              <w:rPr>
                <w:color w:val="231F20"/>
                <w:spacing w:val="-3"/>
              </w:rPr>
            </w:pPr>
            <w:r>
              <w:rPr>
                <w:color w:val="231F20"/>
                <w:spacing w:val="-3"/>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color w:val="231F20"/>
                <w:spacing w:val="-3"/>
                <w:sz w:val="20"/>
              </w:rPr>
              <w:t>January</w:t>
            </w:r>
            <w:r>
              <w:rPr>
                <w:rFonts w:ascii="Times New Roman;Times;serif" w:hAnsi="Times New Roman;Times;serif"/>
                <w:color w:val="231F20"/>
                <w:spacing w:val="-2"/>
                <w:sz w:val="20"/>
              </w:rPr>
              <w:t xml:space="preserve"> </w:t>
            </w:r>
            <w:r>
              <w:rPr>
                <w:rFonts w:ascii="Times New Roman;Times;serif" w:hAnsi="Times New Roman;Times;serif"/>
                <w:color w:val="231F20"/>
                <w:sz w:val="20"/>
              </w:rPr>
              <w:t>1,</w:t>
            </w:r>
            <w:r>
              <w:rPr>
                <w:rFonts w:ascii="Times New Roman;Times;serif" w:hAnsi="Times New Roman;Times;serif"/>
                <w:color w:val="231F20"/>
                <w:spacing w:val="-1"/>
                <w:sz w:val="20"/>
              </w:rPr>
              <w:t xml:space="preserve"> </w:t>
            </w:r>
            <w:r>
              <w:rPr>
                <w:rFonts w:ascii="Times New Roman;Times;serif" w:hAnsi="Times New Roman;Times;serif"/>
                <w:color w:val="231F20"/>
                <w:sz w:val="20"/>
              </w:rPr>
              <w:t>2024</w:t>
            </w:r>
          </w:p>
        </w:tc>
        <w:tc>
          <w:tcPr>
            <w:tcW w:w="191" w:type="dxa"/>
            <w:tcBorders/>
            <w:shd w:fill="auto" w:val="clear"/>
            <w:vAlign w:val="center"/>
          </w:tcPr>
          <w:p>
            <w:pPr>
              <w:pStyle w:val="TableContents"/>
              <w:spacing w:before="0" w:after="0"/>
              <w:ind w:left="0" w:right="0" w:hanging="0"/>
              <w:rPr>
                <w:color w:val="231F20"/>
                <w:spacing w:val="-3"/>
              </w:rPr>
            </w:pPr>
            <w:r>
              <w:rPr>
                <w:color w:val="231F20"/>
                <w:spacing w:val="-3"/>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prepare our consolidated financial statements for the years ended December 31, 2020, 2021 and 2022 in accordance with International Financial Reporting Standards (“IFRS”) as issued by the International Accounting Standards Board (“IASB”).</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preparing the financial statements, our management has made judgments and estimates that affect the application of accounting policies and the reported amounts of assets and liabilities, profit and loss. Estimates and judgments are continuously evaluated and are based on historical experience and other factors, including expectations of future events that are believed to be reasonable under the circumstances. We make estimates and assumptions concerning the future. The resulting accounting estimates may not be equal to the related actual results.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accounting policies related to the depreciation of mining machines, cryptocurrency accounting, revenue from the proprietary mining business, income taxes, share-based payments, fair value of financial assets at fair value through profit or loss, and assessment of the asset acquisition for the years ended December 31, 2020 and 2021 and 2022 involve significant judgments and estimates used in the preparation of our financial statements. Our use of judgements and estimates is disclosed in the Note 3 and the related accounting policies are disclosed in Note 2 to the consolidated financial statements included elsewhere in this annual report. When reviewing our financial statements, you should consider our selection of critical accounting policies, our significant judgments and other uncertainties affecting our applications of those policies and the sensitivity of reported results to changes of such policies, judgments and uncertainties. You should read the descriptions of these significant judgments and estimates in conjunction with other disclosures included in this annual report.</w:t>
      </w:r>
    </w:p>
    <w:p>
      <w:pPr>
        <w:pStyle w:val="TextBody"/>
        <w:pBdr/>
        <w:spacing w:before="0" w:after="240"/>
        <w:ind w:left="0" w:right="0" w:hanging="720"/>
        <w:rPr>
          <w:rFonts w:ascii="Times New Roman;Times;serif" w:hAnsi="Times New Roman;Times;serif"/>
          <w:b/>
          <w:sz w:val="20"/>
        </w:rPr>
      </w:pPr>
      <w:r>
        <w:rPr>
          <w:rFonts w:ascii="Times New Roman;Times;serif" w:hAnsi="Times New Roman;Times;serif"/>
          <w:b/>
          <w:sz w:val="20"/>
        </w:rPr>
        <w:t>Emerging Growth Company Status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w:t>
      </w:r>
    </w:p>
    <w:p>
      <w:pPr>
        <w:pStyle w:val="TextBody"/>
        <w:pBdr/>
        <w:spacing w:before="0" w:after="240"/>
        <w:ind w:left="0" w:right="0" w:hanging="720"/>
        <w:rPr>
          <w:rFonts w:ascii="Times New Roman;Times;serif" w:hAnsi="Times New Roman;Times;serif"/>
          <w:b/>
          <w:sz w:val="20"/>
        </w:rPr>
      </w:pPr>
      <w:r>
        <w:rPr>
          <w:rFonts w:ascii="Times New Roman;Times;serif" w:hAnsi="Times New Roman;Times;serif"/>
          <w:b/>
          <w:sz w:val="20"/>
        </w:rPr>
        <w:t>Holding Company 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Bitdeer Technologies Group is a limited liability company incorporated in the Cayman Islands on December 8, 2021 with no material operations of its own. We currently conduct our operations primarily through our subsidiaries. As a result, our ability to pay dividends primarily depends upon dividends paid by our subsidiaries. If our existing subsidiaries or any newly formed ones incur debt on their own behalf in the future, the instruments governing their debt may restrict their ability to pay dividends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bookmarkStart w:id="58" w:name="ITEM6DIRECTORSSENIORMANAGEMENTANDEMPLOYE"/>
      <w:bookmarkStart w:id="59" w:name="_bdb929d7_b89a_493f_aada_b9b94e2e9991"/>
      <w:bookmarkEnd w:id="58"/>
      <w:bookmarkEnd w:id="59"/>
      <w:r>
        <w:rPr>
          <w:rFonts w:ascii="Times New Roman;Times;serif" w:hAnsi="Times New Roman;Times;serif"/>
          <w:b/>
          <w:sz w:val="20"/>
        </w:rPr>
        <w:t>ITEM 6. DIRECTORS, SENIOR MANAGEMENT AND EMPLOYEES</w:t>
      </w:r>
    </w:p>
    <w:tbl>
      <w:tblPr>
        <w:tblW w:w="3362" w:type="dxa"/>
        <w:jc w:val="left"/>
        <w:tblInd w:w="0" w:type="dxa"/>
        <w:tblCellMar>
          <w:top w:w="0" w:type="dxa"/>
          <w:left w:w="0" w:type="dxa"/>
          <w:bottom w:w="0" w:type="dxa"/>
          <w:right w:w="0" w:type="dxa"/>
        </w:tblCellMar>
      </w:tblPr>
      <w:tblGrid>
        <w:gridCol w:w="301"/>
        <w:gridCol w:w="306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306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Directors and Senior Management</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and executive officers as of the date of this annual report are as follows.</w:t>
      </w:r>
    </w:p>
    <w:tbl>
      <w:tblPr>
        <w:tblW w:w="8305" w:type="dxa"/>
        <w:jc w:val="left"/>
        <w:tblInd w:w="0" w:type="dxa"/>
        <w:tblCellMar>
          <w:top w:w="0" w:type="dxa"/>
          <w:left w:w="0" w:type="dxa"/>
          <w:bottom w:w="0" w:type="dxa"/>
          <w:right w:w="0" w:type="dxa"/>
        </w:tblCellMar>
      </w:tblPr>
      <w:tblGrid>
        <w:gridCol w:w="2461"/>
        <w:gridCol w:w="326"/>
        <w:gridCol w:w="391"/>
        <w:gridCol w:w="326"/>
        <w:gridCol w:w="4801"/>
      </w:tblGrid>
      <w:tr>
        <w:trPr/>
        <w:tc>
          <w:tcPr>
            <w:tcW w:w="2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62735" cy="175260"/>
                      <wp:effectExtent l="0" t="0" r="0" b="0"/>
                      <wp:wrapNone/>
                      <wp:docPr id="96" name="Frame95"/>
                      <a:graphic xmlns:a="http://schemas.openxmlformats.org/drawingml/2006/main">
                        <a:graphicData uri="http://schemas.microsoft.com/office/word/2010/wordprocessingShape">
                          <wps:wsp>
                            <wps:cNvSpPr txBox="1"/>
                            <wps:spPr>
                              <a:xfrm>
                                <a:off x="0" y="0"/>
                                <a:ext cx="156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8285" cy="175260"/>
                      <wp:effectExtent l="0" t="0" r="0" b="0"/>
                      <wp:wrapNone/>
                      <wp:docPr id="98" name="Frame9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48635" cy="175260"/>
                      <wp:effectExtent l="0" t="0" r="0" b="0"/>
                      <wp:wrapNone/>
                      <wp:docPr id="100" name="Frame99"/>
                      <a:graphic xmlns:a="http://schemas.openxmlformats.org/drawingml/2006/main">
                        <a:graphicData uri="http://schemas.microsoft.com/office/word/2010/wordprocessingShape">
                          <wps:wsp>
                            <wps:cNvSpPr txBox="1"/>
                            <wps:spPr>
                              <a:xfrm>
                                <a:off x="0" y="0"/>
                                <a:ext cx="3048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0"/>
              <w:ind w:left="0" w:right="0" w:hanging="0"/>
              <w:jc w:val="center"/>
              <w:rPr/>
            </w:pPr>
            <w:r>
              <w:rPr/>
              <w:t>    </w:t>
            </w:r>
          </w:p>
        </w:tc>
        <w:tc>
          <w:tcPr>
            <w:tcW w:w="48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Position</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Jihan Wu</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 </w:t>
            </w:r>
          </w:p>
        </w:tc>
        <w:tc>
          <w:tcPr>
            <w:tcW w:w="48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Chairman of the Board</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Linghui Kong</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 </w:t>
            </w:r>
          </w:p>
        </w:tc>
        <w:tc>
          <w:tcPr>
            <w:tcW w:w="48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Director and Chief Executive Officer</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Xiaoni Meng</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0"/>
              <w:ind w:left="0" w:right="0" w:hanging="0"/>
              <w:rPr/>
            </w:pPr>
            <w:r>
              <w:rPr/>
              <w:t> </w:t>
            </w:r>
          </w:p>
        </w:tc>
        <w:tc>
          <w:tcPr>
            <w:tcW w:w="48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Jianchun Liu</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0"/>
              <w:ind w:left="0" w:right="0" w:hanging="0"/>
              <w:rPr/>
            </w:pPr>
            <w:r>
              <w:rPr/>
              <w:t> </w:t>
            </w:r>
          </w:p>
        </w:tc>
        <w:tc>
          <w:tcPr>
            <w:tcW w:w="48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Director and Chief Financial Officer, Business Operations</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Huaxin Wen</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pPr>
            <w:r>
              <w:rPr/>
              <w:t> </w:t>
            </w:r>
          </w:p>
        </w:tc>
        <w:tc>
          <w:tcPr>
            <w:tcW w:w="48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Capital Market</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Naphat Sirimongkolkasem</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 </w:t>
            </w:r>
          </w:p>
        </w:tc>
        <w:tc>
          <w:tcPr>
            <w:tcW w:w="48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Sheldon Trainor-Degirolamo</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0"/>
              <w:ind w:left="0" w:right="0" w:hanging="0"/>
              <w:rPr/>
            </w:pPr>
            <w:r>
              <w:rPr/>
              <w:t> </w:t>
            </w:r>
          </w:p>
        </w:tc>
        <w:tc>
          <w:tcPr>
            <w:tcW w:w="48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 Yang</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 </w:t>
            </w:r>
          </w:p>
        </w:tc>
        <w:tc>
          <w:tcPr>
            <w:tcW w:w="48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Jihan Wu</w:t>
      </w:r>
      <w:r>
        <w:rPr>
          <w:rFonts w:ascii="Times New Roman;Times;serif" w:hAnsi="Times New Roman;Times;serif"/>
          <w:sz w:val="20"/>
        </w:rPr>
        <w:t> has served as the sole director of Bitdeer and then Chairman of our board of directors since January 2021. He co-founded BitMain Technologies Holding Company (“BitMain”) in 2013, and served as the Chairman and Chief Executive Officer of BitMain from September 2018 to January 2021. Mr. Wu has been a director of Matrixport Group since 2019. Mr. Wu obtained dual bachelor’s degrees in both Economics and Psychology from Peking University in 2009.</w:t>
      </w:r>
    </w:p>
    <w:p>
      <w:pPr>
        <w:pStyle w:val="TextBody"/>
        <w:spacing w:before="0" w:after="47"/>
        <w:ind w:left="0" w:right="0" w:firstLine="360"/>
        <w:jc w:val="both"/>
        <w:rPr>
          <w:rFonts w:ascii="Times New Roman;Times;serif" w:hAnsi="Times New Roman;Times;serif"/>
          <w:sz w:val="20"/>
        </w:rPr>
      </w:pPr>
      <w:r>
        <w:rPr>
          <w:rFonts w:ascii="Times New Roman;Times;serif" w:hAnsi="Times New Roman;Times;serif"/>
          <w:b/>
          <w:i/>
          <w:sz w:val="20"/>
        </w:rPr>
        <w:t>Linghui Kong</w:t>
      </w:r>
      <w:r>
        <w:rPr>
          <w:rFonts w:ascii="Times New Roman;Times;serif" w:hAnsi="Times New Roman;Times;serif"/>
          <w:sz w:val="20"/>
        </w:rPr>
        <w:t> has served as the Chief Executive Officer of Bitdeer and then our Chief Executive Officer since January 2021. Mr. Kong also served on our board of directors since March 2023. He served as the head of Application Software Department of BitMain from April 2018 to December 2020. Prior to that, Mr. Kong served as a senior software architect of Tencent Technology Beijing Co., Ltd. from April 2011 to March 2018. Mr. Kong obtained a master’s degree in Telecommunication and Information System from Beijing University of Posts and Telecommunications in 2008 and a bachelor’s degree in Telecommunication Engineering from Beijing University of Posts and Telecommunications in 2005.</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Jianchun Liu</w:t>
      </w:r>
      <w:r>
        <w:rPr>
          <w:rFonts w:ascii="Times New Roman;Times;serif" w:hAnsi="Times New Roman;Times;serif"/>
          <w:sz w:val="20"/>
        </w:rPr>
        <w:t> has served as the Chief Financial Officer of Bitdeer and then our Chief Financial Officer since January 2021, responsible for business operations. Mr. Liu also served on our board of directors since March 2023. He has been a director of BitMain since January 2021. Prior to that, Mr. Liu served as the financial director of BitMain from 2016 to 2021. Mr. Liu obtained an MBA from University of Chinese Academy of Sciences in 2017 and a bachelor’s degree in Economics from Renmin University of China in 2000.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Huaxin Wen</w:t>
      </w:r>
      <w:r>
        <w:rPr>
          <w:rFonts w:ascii="Times New Roman;Times;serif" w:hAnsi="Times New Roman;Times;serif"/>
          <w:sz w:val="20"/>
        </w:rPr>
        <w:t> has served as the Chief Financial Officer of Bitdeer and then our Chief Financial Officer since April 2021, responsible for capital market. He served as a financial officer of Fangdd Network Group Ltd. (Nasdaq: DUO), a property technology company, from 2014 to 2021. Prior to that, Mr. Wen served as a senior manager of KPMG Huazhen LLP, one of the big four accounting firms, from 2009 to 2014. Mr. Wen obtained a bachelor’s degree of Arts in English from South China University of Technology in 2001.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Xiaoni Meng</w:t>
      </w:r>
      <w:r>
        <w:rPr>
          <w:rFonts w:ascii="Times New Roman;Times;serif" w:hAnsi="Times New Roman;Times;serif"/>
          <w:sz w:val="20"/>
        </w:rPr>
        <w:t> has served on our board of directors since March 2023. She has served as Vice President of BIT Mining Limited (NYSE: BTCM), a cryptocurrency enterprise publicly traded on New York Stock Exchange, from April 2021 to April 2022. Ms. Meng served as the head of mining cloud department of Bitdeer from January 2021 to March 2021. Prior to that, Ms. Meng led the operation of cloud mining business of BitMain from July 2018 to December 2020. Ms. Meng graduated from Xi’an University of Science and Technology in 2006.</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Naphat Sirimongkolkasem</w:t>
      </w:r>
      <w:r>
        <w:rPr>
          <w:rFonts w:ascii="Times New Roman;Times;serif" w:hAnsi="Times New Roman;Times;serif"/>
          <w:sz w:val="20"/>
        </w:rPr>
        <w:t xml:space="preserve"> has served on our board of directors since April 2023. He served as the Chief Financial Officer and as a member of the board of directors of BSGA from April 2021 to April 2023. Mr. Sirimongkolkasem is experienced in management, business development and capital market transactions, including M&amp;A, fundraising, initial public offering, and restructuring in Asia. Since 2021, Mr. Sirimongkolkasem has been the co-Founder of Collis Capital. Mr. Sirimongkolkasem is responsible for the operation activities of Collis Capital, overseeing the analysis and evaluation of opportunities. From 2017 to 2021, Mr. Sirimongkolkasem was investment director of Sapientia Capital Limited. From 2014 to 2017, Mr. Sirimongkolkasem was a consultant at Vision Skill Consulting limited, which specializes in strategy, management and engineering advisory in areas that cover infrastructure, transportation and hospitality. Mr. Sirimongkolkasem obtained his Bachelor’s Degree of Arts in Economics from Durham University (United Kingdom) in 2012.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Sheldon Trainor-DeGirolamo</w:t>
      </w:r>
      <w:r>
        <w:rPr>
          <w:rFonts w:ascii="Times New Roman;Times;serif" w:hAnsi="Times New Roman;Times;serif"/>
          <w:sz w:val="20"/>
        </w:rPr>
        <w:t> has served on our board of directors since April 2023. He served as the Non-Executive Director of Foxconn Interconnect Technology Ltd (6088.HK), a publicly traded company on the Hong Kong Stock Exchange, since May 2019. He has also served as the Director of Experiential Media Group and Linksys Holdings, Inc. since May 2021 and June 2021, respectively. From May 2012 to November 2020, he served as the Executive Director of Macau Legend Development Company Ltd., a publicly traded company on the Hong Kong Stock Exchange. He also served as the Director of Athenex (NASDAQ: ATNX), a biopharmaceutical company publicly traded on Nasdaq, from June 2017 to May 2019. He is the Founder and Managing Director of PacBridge Capital Partners (HK) Limited, a principal investment firm based in Hong Kong, which he founded in 2009. Prior to establishing PacBridge, Mr. Trainor-DeGirolamo spent more than 20 years in the financial services industry, including with Credit Suisse Australia, Morgan Stanley Asia and as the Head of Investment Banking for Asia and as Vice Chairman of Merrill Lynch Asia. Mr. Trainor-DeGirolamo received a Bachelor of Commerce from the University of British Columbia.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Guang Yang</w:t>
      </w:r>
      <w:r>
        <w:rPr>
          <w:rFonts w:ascii="Times New Roman;Times;serif" w:hAnsi="Times New Roman;Times;serif"/>
          <w:sz w:val="20"/>
        </w:rPr>
        <w:t> has served on our board of directors since April 2023. He has 16 years of experiences in global wealth management, private equity, venture capital and investment banking. He is a co-founder of PSZC Asset Management, a leading multi-family office established 2015. During 2011-2015, Mr. Yang served as a partner for CGP Investment, one of the leading Asia based fund of funds. Prior to that, he served various financial advisory and investment roles at Macquarie Capital Group, China Renaissance, and CVC Capital from 2006 to 2010. Mr. Yang obtained his bachelor’s degree of Commerce and bachelor’s degree of Law from Melbourne University in 2006.</w:t>
      </w:r>
    </w:p>
    <w:tbl>
      <w:tblPr>
        <w:tblW w:w="1667" w:type="dxa"/>
        <w:jc w:val="left"/>
        <w:tblInd w:w="0" w:type="dxa"/>
        <w:tblCellMar>
          <w:top w:w="0" w:type="dxa"/>
          <w:left w:w="0" w:type="dxa"/>
          <w:bottom w:w="0" w:type="dxa"/>
          <w:right w:w="0" w:type="dxa"/>
        </w:tblCellMar>
      </w:tblPr>
      <w:tblGrid>
        <w:gridCol w:w="301"/>
        <w:gridCol w:w="136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36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Compensation</w:t>
            </w:r>
          </w:p>
        </w:tc>
      </w:tr>
    </w:tbl>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Historical Compensation of Bitdeer’s Directors and Executive Officers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2022, an aggregate of approximately US$12.0 million in cash and benefits was paid to Bitdeer’s executive officers and director. For awards granted to Bitdeer’s executive officers and directors, see the section entitled “—2023 Share Incentive Plan.” Bitdeer has not set aside or accrued any amount to provide pension, retirement or other similar benefits to its executive officers and director.</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Employment Agreements and Indemnification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by the executive officer to satisfactorily perform his/her duties, or the executive officer’s conviction or entry of a guilty or nolo contendere plea of any felony or any misdemeanor involving moral turpitude. We may also terminate an executive officer’s employment without cause upon 60-day advance written notice. In such case of termination by our company, we will (i) continue to provide to the executive officer all compensation, base salary and previously earned but unpaid incentive compensation, if any, and to allow the executive officer to participate in any benefit plans in accordance with the terms of such plans during the notice period, and (ii) pay to the executive officer, in lieu of benefits under any severance plan or policy of our company, any such amount as may be agreed between our company and the executive officer.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our company and for which we have confidential obligations. The executive officers have also agreed to disclose in confidence to our company all inventions, designs and trade secrets which they conceive, develop or reduce to practice during the executive officer’s employment with us and to assign all rights, title and interest in them to us, and assist us in obtaining and enforcing patents, copyrights and other legal rights for these inventions, designs and trade secrets.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engage in, or otherwise directly or indirectly being employed by or acting as a consultant or lender to, or being a director, officer, employee, principal, agent, stockholder, member, owner or partner of, or permitting the executive officer’s name to be used in connection with the activities of, any other business or organization which competes, directly or indirectly, with us; (ii) solicit from any customer doing business with us during the term; or (iii) otherwise interfere with the business or accounts of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pBdr/>
        <w:spacing w:before="0" w:after="240"/>
        <w:ind w:left="0" w:right="0" w:hanging="360"/>
        <w:jc w:val="both"/>
        <w:rPr>
          <w:rFonts w:ascii="Times New Roman;Times;serif" w:hAnsi="Times New Roman;Times;serif"/>
          <w:sz w:val="20"/>
        </w:rPr>
      </w:pPr>
      <w:r>
        <w:rPr>
          <w:rFonts w:ascii="Times New Roman;Times;serif" w:hAnsi="Times New Roman;Times;serif"/>
          <w:b/>
          <w:sz w:val="20"/>
        </w:rPr>
        <w:t>2023 Share Incentive</w:t>
      </w:r>
      <w:r>
        <w:rPr>
          <w:rFonts w:ascii="Times New Roman;Times;serif" w:hAnsi="Times New Roman;Times;serif"/>
          <w:sz w:val="20"/>
        </w:rPr>
        <w:t xml:space="preserve"> </w:t>
      </w:r>
      <w:r>
        <w:rPr>
          <w:rFonts w:ascii="Times New Roman;Times;serif" w:hAnsi="Times New Roman;Times;serif"/>
          <w:b/>
          <w:sz w:val="20"/>
        </w:rPr>
        <w:t>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share incentive plan was adopted in connection with the Business Combination, approved by both shareholders of Bitdeer and shareholders of BSGA prior to the consummation of the Business Combination, effective in April 2023 (the “2023 Plan”). As of the date of this annual report, the maximum aggregate number of Class A Ordinary Shares that may be granted under the 2023 Plan is 21,877,912. As of April 21, 2023, awards to purchase a total of 10,753,878 Class A Ordinary Shares have been granted and outstanding, excluding awards that were forfeited or cancelled after the relevant grant dates. The following paragraphs summarize the principal terms of our 2023 Plan.</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Shares Available for Awards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adjustment for specified changes in our capitalization as set forth in the 2023 Plan, the maximum aggregate number of shares of common share that may be issued under the 2023 Plan will be equal to 21,877,912.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shares of common shares will become available again for the grant of a share award under the 2023 Plan: (i) any share issued pursuant to a share award that terminates, expires, or lapses for any reason; (ii) any share delivered by the participant or withheld by us upon the exercise of any award under the 2023 Plan, in payment of the exercise price thereof or tax withholding thereon; and (iii) any share issued pursuant to a share award that is forfeited by the participant or repurchased by us.</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Administration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2023 Plan will be administered by a committee (the “Committee”) of one or more members of our board of directors to whom our board of directors shall delegate the authority to grant or amend awards to participants other than any of the Committee members. Subject to the terms of the 2023 Plan, the Committee has full and final power and authority to make all decisions and determinations that may be required pursuant to the 2023 Plan or as the Committee deems necessary or advisable to administer the 2023 Plan, including: determine participants to receive awards; the type and number of awards to be granted; the terms and conditions of any award granted pursuant to the 2023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prescribe the form of each notice of grant; and correct any defect, supply any omission and reconcile any inconsistency in the 2023 Plan. The Committee also has the authority to reduce the exercise price per share underlying an option, and establish, adopt, waive, or revise any rules and regulations as it may deem necessary or advisable to administer the 2023 Plan.</w:t>
      </w:r>
    </w:p>
    <w:p>
      <w:pPr>
        <w:pStyle w:val="TextBody"/>
        <w:pBdr/>
        <w:spacing w:before="0" w:after="240"/>
        <w:ind w:left="0" w:right="0" w:hanging="360"/>
        <w:rPr>
          <w:rFonts w:ascii="Times New Roman;Times;serif" w:hAnsi="Times New Roman;Times;serif"/>
          <w:i/>
          <w:sz w:val="20"/>
        </w:rPr>
      </w:pPr>
      <w:r>
        <w:rPr>
          <w:rFonts w:ascii="Times New Roman;Times;serif" w:hAnsi="Times New Roman;Times;serif"/>
          <w:i/>
          <w:sz w:val="20"/>
        </w:rPr>
        <w:t>Types of Awards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terms of the 2023 Plan provide for the grant of share options, restricted share units, and restricted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Options</w:t>
      </w:r>
      <w:r>
        <w:rPr>
          <w:rFonts w:ascii="Times New Roman;Times;serif" w:hAnsi="Times New Roman;Times;serif"/>
          <w:sz w:val="20"/>
        </w:rPr>
        <w:t>.  The Committee will be authorized to grant options to purchase shares of common share that are either “qualified,” meaning they are intended to satisfy the requirements of Section 422 of the Code for incentive share options (“ISOs”), or “nonqualified,” meaning they are not intended to satisfy the requirements of Section 422 of the Code. Options granted under the 2023 Plan will be subject to terms, including the exercise price and the conditions and timing of exercise, determined by the Committee and specified in the applicable award agreement. In general, the exercise price per share of common share for each non-qualified share option (“NSO”) granted under the 2023 Plan will be a fixed or variable price related to the fair market value. The exercise price per share of common share for each ISO granted under the 2023 Plan will be equal to the fair market value (or 110% of the fair market value, in the case of ISOs granted to a more than 10% shareholder) of the share at the time of grant. The maximum term of an option granted under the Incentive Plan will be ten years from the date of grant. Payment in respect of the exercise of an option may be made in cash or by check, or the Committee may, in its discretion and to the extent permitted by law, allow the payment to be made through a broker-assisted cashless exercise mechanism, a share tender exercise, or by any other method that the Committee determines to be appropriate.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Restricted</w:t>
      </w:r>
      <w:r>
        <w:rPr>
          <w:rFonts w:ascii="Times New Roman;Times;serif" w:hAnsi="Times New Roman;Times;serif"/>
          <w:sz w:val="20"/>
        </w:rPr>
        <w:t xml:space="preserve"> Share Awards.  The Committee will be authorized to award restricted shares under the 2023 Plan. Each award of restricted share will be subject to the terms and conditions established by the Committee, including any dividend or voting rights. Restricted share awards are shares of common share that generally are non-transferable and subject to other restrictions determined by the Committee for a specified period. Unless the Committee determines otherwise or specifies otherwise in an award agreement, if the participant terminates employment or services during the restricted period, then any unvested restricted share is forfeited.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Restricted Share Units</w:t>
      </w:r>
      <w:r>
        <w:rPr>
          <w:rFonts w:ascii="Times New Roman;Times;serif" w:hAnsi="Times New Roman;Times;serif"/>
          <w:sz w:val="20"/>
        </w:rPr>
        <w:t>.  The Committee will be authorized to award restricted share unit awards under the 2023 Plan. The Committee will determine the terms of the restricted share units, including any dividend rights (and any performance goals and/or criteria upon whose attainment the restricted period shall lapse in part or full). Unless the Committee determines otherwise or specifies otherwise in an award agreement, if the participant terminates employment or services during the period of time over which all or a portion of the units are to be earned, then any unvested units will be forfeited.</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Plan Amendment or Termination.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With the approval of our board of directors, at any time and from time to time, the Committee has the authority to terminate, amend, modify, alter, suspend, or discontinue the 2023 Plan or any portion thereof.</w:t>
      </w:r>
    </w:p>
    <w:p>
      <w:pPr>
        <w:pStyle w:val="TextBody"/>
        <w:spacing w:before="0" w:after="200"/>
        <w:ind w:left="0" w:right="0" w:firstLine="360"/>
        <w:rPr>
          <w:rFonts w:ascii="Times New Roman;Times;serif" w:hAnsi="Times New Roman;Times;serif"/>
          <w:i/>
          <w:sz w:val="20"/>
        </w:rPr>
      </w:pPr>
      <w:r>
        <w:rPr>
          <w:rFonts w:ascii="Times New Roman;Times;serif" w:hAnsi="Times New Roman;Times;serif"/>
          <w:i/>
          <w:sz w:val="20"/>
        </w:rPr>
        <w:t>Eligibility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Persons eligible to participate in the 2023 Plan include persons recognized by the Committee, such as directors, employees and consultants, as determined by the Committee.</w:t>
      </w:r>
    </w:p>
    <w:p>
      <w:pPr>
        <w:pStyle w:val="TextBody"/>
        <w:spacing w:before="0" w:after="200"/>
        <w:ind w:left="0" w:right="0" w:firstLine="360"/>
        <w:rPr>
          <w:rFonts w:ascii="Times New Roman;Times;serif" w:hAnsi="Times New Roman;Times;serif"/>
          <w:i/>
          <w:sz w:val="20"/>
        </w:rPr>
      </w:pPr>
      <w:r>
        <w:rPr>
          <w:rFonts w:ascii="Times New Roman;Times;serif" w:hAnsi="Times New Roman;Times;serif"/>
          <w:i/>
          <w:sz w:val="20"/>
        </w:rPr>
        <w:t>Terms and Conditions of Awards</w:t>
      </w:r>
    </w:p>
    <w:p>
      <w:pPr>
        <w:pStyle w:val="TextBody"/>
        <w:spacing w:before="0" w:after="200"/>
        <w:ind w:left="0" w:right="0" w:firstLine="360"/>
        <w:rPr>
          <w:rFonts w:ascii="Times New Roman;Times;serif" w:hAnsi="Times New Roman;Times;serif"/>
          <w:i/>
          <w:sz w:val="20"/>
        </w:rPr>
      </w:pPr>
      <w:r>
        <w:rPr>
          <w:rFonts w:ascii="Times New Roman;Times;serif" w:hAnsi="Times New Roman;Times;serif"/>
          <w:i/>
          <w:sz w:val="20"/>
        </w:rPr>
        <w:t>All Awards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Generally, the Committee will determine the terms of all awards under the 2023 Plan, including the vesting and acceleration of vesting of awards, provisions for the withholding of taxes, and payment of amounts in lieu of cash dividends or other cash distributions with respect to our common share subject to awards.</w:t>
      </w:r>
    </w:p>
    <w:p>
      <w:pPr>
        <w:pStyle w:val="TextBody"/>
        <w:spacing w:before="0" w:after="200"/>
        <w:ind w:left="0" w:right="0" w:firstLine="360"/>
        <w:rPr>
          <w:rFonts w:ascii="Times New Roman;Times;serif" w:hAnsi="Times New Roman;Times;serif"/>
          <w:i/>
          <w:sz w:val="20"/>
        </w:rPr>
      </w:pPr>
      <w:r>
        <w:rPr>
          <w:rFonts w:ascii="Times New Roman;Times;serif" w:hAnsi="Times New Roman;Times;serif"/>
          <w:i/>
          <w:sz w:val="20"/>
        </w:rPr>
        <w:t>Awards Requiring Exercise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Incentive share options and, except as provided in the award agreement, nonqualified share options, may not be transferred other than by will or the laws of descent and distribution, and during an employee’s lifetime may be exercised only by the employee or the employee’s guardian or legal representative. Upon the cessation of a participant’s employment with us, an award requiring exercise will cease to be exercisable and will terminate and all other unvested awards will be forfeited, except that:</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All share options held by the participant which were exercisable immediately prior to the participant’s termination of service with us other than for Cause (as defined in the 2023 Plan) will, except as otherwise set forth in the option award agreement, remain exercisable until the tenth anniversary of the grant date to the extent that such options were vested and exercisable on the date of the participant’s termination of employment or service;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All share options held by the participant which were exercisable immediately prior to the participant’s termination of service with us due to death or disability will remain exercisable until the tenth anniversary of the grant date to the extent that such options were vested and exercisable on the date of the participant’s termination of employment on account of death or disability.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exercise price of each award requiring exercise will be determined by the Committee and set forth in the notice of grant which may be a fixed or variable price related to the fair market value of the shares; provided that the exercise price of incentive share options shall be equal to the fair market value on the date of grant; and incentive share options granted to participants who own share of our company possessing more than 10% of the total combined voting power of all classes of share of our company or any parent corporation, subsidiary corporation or affiliate of our company (a “Ten Percent Holder”) must have an exercise price per share not less than 110% of the fair market value of a share of common share on the effective date the incentive share option is granted. Fair market value will be determined by the Committee consistent with the applicable requirements of Section 409A of the Code.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Awards requiring exercise will have a maximum term not to exceed ten years from the date of grant.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00"/>
        <w:ind w:left="0" w:right="0" w:hanging="360"/>
        <w:rPr>
          <w:rFonts w:ascii="Times New Roman;Times;serif" w:hAnsi="Times New Roman;Times;serif"/>
          <w:i/>
          <w:sz w:val="20"/>
        </w:rPr>
      </w:pPr>
      <w:r>
        <w:rPr>
          <w:rFonts w:ascii="Times New Roman;Times;serif" w:hAnsi="Times New Roman;Times;serif"/>
          <w:i/>
          <w:sz w:val="20"/>
        </w:rPr>
        <w:t>Effect of a Change in Capital 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of a change in capital structure, the Committee may make such proportionate and equitable adjustments as it may deem appropriate to reflect such change with respect to (a) the aggregate number and type of shares that may be issued under the 2023 Plan; (b) the terms and conditions of any issued and outstanding awards (including, without limitation, any applicable performance targets or criteria with respect thereto); and (c) the grant or exercise price per share for any issued and outstanding awards under the 2023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as of April 21, 2023 the closing date of the Business Combination, the options granted under our share incentive plans to several of our executive officers, excluding awards that were forfeited or cancelled after the relevant grant dates.</w:t>
      </w:r>
    </w:p>
    <w:tbl>
      <w:tblPr>
        <w:tblW w:w="9634" w:type="dxa"/>
        <w:jc w:val="left"/>
        <w:tblInd w:w="0" w:type="dxa"/>
        <w:tblCellMar>
          <w:top w:w="0" w:type="dxa"/>
          <w:left w:w="0" w:type="dxa"/>
          <w:bottom w:w="0" w:type="dxa"/>
          <w:right w:w="0" w:type="dxa"/>
        </w:tblCellMar>
      </w:tblPr>
      <w:tblGrid>
        <w:gridCol w:w="2461"/>
        <w:gridCol w:w="326"/>
        <w:gridCol w:w="1486"/>
        <w:gridCol w:w="326"/>
        <w:gridCol w:w="1126"/>
        <w:gridCol w:w="326"/>
        <w:gridCol w:w="1606"/>
        <w:gridCol w:w="326"/>
        <w:gridCol w:w="1651"/>
      </w:tblGrid>
      <w:tr>
        <w:trPr/>
        <w:tc>
          <w:tcPr>
            <w:tcW w:w="2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62735" cy="175260"/>
                      <wp:effectExtent l="0" t="0" r="0" b="0"/>
                      <wp:wrapNone/>
                      <wp:docPr id="101" name="Frame100"/>
                      <a:graphic xmlns:a="http://schemas.openxmlformats.org/drawingml/2006/main">
                        <a:graphicData uri="http://schemas.microsoft.com/office/word/2010/wordprocessingShape">
                          <wps:wsp>
                            <wps:cNvSpPr txBox="1"/>
                            <wps:spPr>
                              <a:xfrm>
                                <a:off x="0" y="0"/>
                                <a:ext cx="156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43610" cy="175260"/>
                      <wp:effectExtent l="0" t="0" r="0" b="0"/>
                      <wp:wrapNone/>
                      <wp:docPr id="103" name="Frame102"/>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15010" cy="175260"/>
                      <wp:effectExtent l="0" t="0" r="0" b="0"/>
                      <wp:wrapNone/>
                      <wp:docPr id="105" name="Frame104"/>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19810" cy="175260"/>
                      <wp:effectExtent l="0" t="0" r="0" b="0"/>
                      <wp:wrapNone/>
                      <wp:docPr id="107" name="Frame106"/>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048385" cy="175260"/>
                      <wp:effectExtent l="0" t="0" r="0" b="0"/>
                      <wp:wrapNone/>
                      <wp:docPr id="109" name="Frame108"/>
                      <a:graphic xmlns:a="http://schemas.openxmlformats.org/drawingml/2006/main">
                        <a:graphicData uri="http://schemas.microsoft.com/office/word/2010/wordprocessingShape">
                          <wps:wsp>
                            <wps:cNvSpPr txBox="1"/>
                            <wps:spPr>
                              <a:xfrm>
                                <a:off x="0" y="0"/>
                                <a:ext cx="1048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6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651" w:type="dxa"/>
            <w:tcBorders/>
            <w:shd w:fill="auto" w:val="clear"/>
            <w:vAlign w:val="center"/>
          </w:tcPr>
          <w:p>
            <w:pPr>
              <w:pStyle w:val="TableContents"/>
              <w:spacing w:before="0" w:after="0"/>
              <w:ind w:left="0" w:right="0" w:hanging="0"/>
              <w:jc w:val="center"/>
              <w:rPr/>
            </w:pPr>
            <w:r>
              <w:rPr/>
              <w:t>​</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Underlying </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0"/>
              <w:ind w:left="0" w:right="0" w:hanging="0"/>
              <w:jc w:val="center"/>
              <w:rPr/>
            </w:pPr>
            <w:r>
              <w:rPr/>
              <w:t>​</w:t>
            </w:r>
          </w:p>
        </w:tc>
        <w:tc>
          <w:tcPr>
            <w:tcW w:w="16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w:t>
            </w:r>
          </w:p>
        </w:tc>
        <w:tc>
          <w:tcPr>
            <w:tcW w:w="326" w:type="dxa"/>
            <w:tcBorders/>
            <w:shd w:fill="auto" w:val="clear"/>
            <w:vAlign w:val="center"/>
          </w:tcPr>
          <w:p>
            <w:pPr>
              <w:pStyle w:val="TableContents"/>
              <w:spacing w:before="0" w:after="0"/>
              <w:ind w:left="0" w:right="0" w:hanging="0"/>
              <w:jc w:val="center"/>
              <w:rPr/>
            </w:pPr>
            <w:r>
              <w:rPr/>
              <w:t>​</w:t>
            </w:r>
          </w:p>
        </w:tc>
        <w:tc>
          <w:tcPr>
            <w:tcW w:w="16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w:t>
            </w:r>
          </w:p>
        </w:tc>
      </w:tr>
      <w:tr>
        <w:trPr/>
        <w:tc>
          <w:tcPr>
            <w:tcW w:w="24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jc w:val="center"/>
              <w:rPr/>
            </w:pPr>
            <w:r>
              <w:rPr/>
              <w:t>​</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shd w:fill="auto" w:val="clear"/>
            <w:vAlign w:val="center"/>
          </w:tcPr>
          <w:p>
            <w:pPr>
              <w:pStyle w:val="TableContents"/>
              <w:spacing w:before="0" w:after="0"/>
              <w:ind w:left="0" w:right="0" w:hanging="0"/>
              <w:jc w:val="center"/>
              <w:rPr/>
            </w:pPr>
            <w:r>
              <w:rPr/>
              <w:t>​</w:t>
            </w:r>
          </w:p>
        </w:tc>
        <w:tc>
          <w:tcPr>
            <w:tcW w:w="16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shd w:fill="auto" w:val="clear"/>
            <w:vAlign w:val="center"/>
          </w:tcPr>
          <w:p>
            <w:pPr>
              <w:pStyle w:val="TableContents"/>
              <w:spacing w:before="0" w:after="0"/>
              <w:ind w:left="0" w:right="0" w:hanging="0"/>
              <w:jc w:val="center"/>
              <w:rPr/>
            </w:pPr>
            <w:r>
              <w:rPr/>
              <w:t>​</w:t>
            </w:r>
          </w:p>
        </w:tc>
        <w:tc>
          <w:tcPr>
            <w:tcW w:w="16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Jihan Wu</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51" w:type="dxa"/>
            <w:tcBorders/>
            <w:shd w:fill="CCEEFF" w:val="clear"/>
            <w:vAlign w:val="center"/>
          </w:tcPr>
          <w:p>
            <w:pPr>
              <w:pStyle w:val="TableContents"/>
              <w:spacing w:before="0" w:after="0"/>
              <w:ind w:left="0" w:right="0" w:hanging="0"/>
              <w:jc w:val="right"/>
              <w:rPr/>
            </w:pPr>
            <w:r>
              <w:rPr/>
              <w:t>—</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Linghui Kong</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 </w:t>
            </w:r>
          </w:p>
        </w:tc>
        <w:tc>
          <w:tcPr>
            <w:tcW w:w="1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August 1, 2021</w:t>
            </w:r>
          </w:p>
        </w:tc>
        <w:tc>
          <w:tcPr>
            <w:tcW w:w="326" w:type="dxa"/>
            <w:tcBorders/>
            <w:shd w:fill="auto" w:val="clear"/>
            <w:vAlign w:val="center"/>
          </w:tcPr>
          <w:p>
            <w:pPr>
              <w:pStyle w:val="TableContents"/>
              <w:spacing w:before="0" w:after="0"/>
              <w:ind w:left="0" w:right="0" w:hanging="0"/>
              <w:rPr/>
            </w:pPr>
            <w:r>
              <w:rPr/>
              <w:t> </w:t>
            </w:r>
          </w:p>
        </w:tc>
        <w:tc>
          <w:tcPr>
            <w:tcW w:w="16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August 1, 2031</w:t>
            </w:r>
          </w:p>
        </w:tc>
      </w:tr>
      <w:tr>
        <w:trPr/>
        <w:tc>
          <w:tcPr>
            <w:tcW w:w="24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 </w:t>
            </w:r>
          </w:p>
        </w:tc>
        <w:tc>
          <w:tcPr>
            <w:tcW w:w="1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2022</w:t>
            </w:r>
          </w:p>
        </w:tc>
        <w:tc>
          <w:tcPr>
            <w:tcW w:w="326" w:type="dxa"/>
            <w:tcBorders/>
            <w:shd w:fill="CCEEFF" w:val="clear"/>
            <w:vAlign w:val="center"/>
          </w:tcPr>
          <w:p>
            <w:pPr>
              <w:pStyle w:val="TableContents"/>
              <w:spacing w:before="0" w:after="0"/>
              <w:ind w:left="0" w:right="0" w:hanging="0"/>
              <w:rPr/>
            </w:pPr>
            <w:r>
              <w:rPr/>
              <w:t> </w:t>
            </w:r>
          </w:p>
        </w:tc>
        <w:tc>
          <w:tcPr>
            <w:tcW w:w="16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2032</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 </w:t>
            </w:r>
          </w:p>
        </w:tc>
        <w:tc>
          <w:tcPr>
            <w:tcW w:w="1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2023</w:t>
            </w:r>
          </w:p>
        </w:tc>
        <w:tc>
          <w:tcPr>
            <w:tcW w:w="326" w:type="dxa"/>
            <w:tcBorders/>
            <w:shd w:fill="auto" w:val="clear"/>
            <w:vAlign w:val="center"/>
          </w:tcPr>
          <w:p>
            <w:pPr>
              <w:pStyle w:val="TableContents"/>
              <w:spacing w:before="0" w:after="0"/>
              <w:ind w:left="0" w:right="0" w:hanging="0"/>
              <w:rPr/>
            </w:pPr>
            <w:r>
              <w:rPr/>
              <w:t> </w:t>
            </w:r>
          </w:p>
        </w:tc>
        <w:tc>
          <w:tcPr>
            <w:tcW w:w="16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2033</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Xiaoni Meng</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 </w:t>
            </w:r>
          </w:p>
        </w:tc>
        <w:tc>
          <w:tcPr>
            <w:tcW w:w="1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November 1, 2021</w:t>
            </w:r>
          </w:p>
        </w:tc>
        <w:tc>
          <w:tcPr>
            <w:tcW w:w="326" w:type="dxa"/>
            <w:tcBorders/>
            <w:shd w:fill="CCEEFF" w:val="clear"/>
            <w:vAlign w:val="center"/>
          </w:tcPr>
          <w:p>
            <w:pPr>
              <w:pStyle w:val="TableContents"/>
              <w:spacing w:before="0" w:after="0"/>
              <w:ind w:left="0" w:right="0" w:hanging="0"/>
              <w:rPr/>
            </w:pPr>
            <w:r>
              <w:rPr/>
              <w:t> </w:t>
            </w:r>
          </w:p>
        </w:tc>
        <w:tc>
          <w:tcPr>
            <w:tcW w:w="16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November 1, 2031</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 </w:t>
            </w:r>
          </w:p>
        </w:tc>
        <w:tc>
          <w:tcPr>
            <w:tcW w:w="1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2023</w:t>
            </w:r>
          </w:p>
        </w:tc>
        <w:tc>
          <w:tcPr>
            <w:tcW w:w="326" w:type="dxa"/>
            <w:tcBorders/>
            <w:shd w:fill="auto" w:val="clear"/>
            <w:vAlign w:val="center"/>
          </w:tcPr>
          <w:p>
            <w:pPr>
              <w:pStyle w:val="TableContents"/>
              <w:spacing w:before="0" w:after="0"/>
              <w:ind w:left="0" w:right="0" w:hanging="0"/>
              <w:rPr/>
            </w:pPr>
            <w:r>
              <w:rPr/>
              <w:t> </w:t>
            </w:r>
          </w:p>
        </w:tc>
        <w:tc>
          <w:tcPr>
            <w:tcW w:w="16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2033</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Jianchun Liu</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 </w:t>
            </w:r>
          </w:p>
        </w:tc>
        <w:tc>
          <w:tcPr>
            <w:tcW w:w="1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August 1, 2021</w:t>
            </w:r>
          </w:p>
        </w:tc>
        <w:tc>
          <w:tcPr>
            <w:tcW w:w="326" w:type="dxa"/>
            <w:tcBorders/>
            <w:shd w:fill="CCEEFF" w:val="clear"/>
            <w:vAlign w:val="center"/>
          </w:tcPr>
          <w:p>
            <w:pPr>
              <w:pStyle w:val="TableContents"/>
              <w:spacing w:before="0" w:after="0"/>
              <w:ind w:left="0" w:right="0" w:hanging="0"/>
              <w:rPr/>
            </w:pPr>
            <w:r>
              <w:rPr/>
              <w:t> </w:t>
            </w:r>
          </w:p>
        </w:tc>
        <w:tc>
          <w:tcPr>
            <w:tcW w:w="16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August 1, 2031</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 </w:t>
            </w:r>
          </w:p>
        </w:tc>
        <w:tc>
          <w:tcPr>
            <w:tcW w:w="16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2022</w:t>
            </w:r>
          </w:p>
        </w:tc>
        <w:tc>
          <w:tcPr>
            <w:tcW w:w="326" w:type="dxa"/>
            <w:tcBorders/>
            <w:shd w:fill="auto" w:val="clear"/>
            <w:vAlign w:val="center"/>
          </w:tcPr>
          <w:p>
            <w:pPr>
              <w:pStyle w:val="TableContents"/>
              <w:spacing w:before="0" w:after="0"/>
              <w:ind w:left="0" w:right="0" w:hanging="0"/>
              <w:rPr/>
            </w:pPr>
            <w:r>
              <w:rPr/>
              <w:t> </w:t>
            </w:r>
          </w:p>
        </w:tc>
        <w:tc>
          <w:tcPr>
            <w:tcW w:w="16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January 1, 2032</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Huaxin Wen</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w:t>
            </w:r>
          </w:p>
        </w:tc>
        <w:tc>
          <w:tcPr>
            <w:tcW w:w="1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August 1, 2021</w:t>
            </w:r>
          </w:p>
        </w:tc>
        <w:tc>
          <w:tcPr>
            <w:tcW w:w="326" w:type="dxa"/>
            <w:tcBorders/>
            <w:shd w:fill="CCEEFF" w:val="clear"/>
            <w:vAlign w:val="center"/>
          </w:tcPr>
          <w:p>
            <w:pPr>
              <w:pStyle w:val="TableContents"/>
              <w:spacing w:before="0" w:after="0"/>
              <w:ind w:left="0" w:right="0" w:hanging="0"/>
              <w:rPr/>
            </w:pPr>
            <w:r>
              <w:rPr/>
              <w:t>​</w:t>
            </w:r>
          </w:p>
        </w:tc>
        <w:tc>
          <w:tcPr>
            <w:tcW w:w="16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August 1, 2031</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Naphat Sirimongkolkasem</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51" w:type="dxa"/>
            <w:tcBorders/>
            <w:shd w:fill="auto" w:val="clear"/>
            <w:vAlign w:val="center"/>
          </w:tcPr>
          <w:p>
            <w:pPr>
              <w:pStyle w:val="TableContents"/>
              <w:spacing w:before="0" w:after="0"/>
              <w:ind w:left="0" w:right="0" w:hanging="0"/>
              <w:jc w:val="right"/>
              <w:rPr/>
            </w:pPr>
            <w:r>
              <w:rPr/>
              <w:t>—</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Sheldon Trainor-Degirolamo</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51" w:type="dxa"/>
            <w:tcBorders/>
            <w:shd w:fill="CCEEFF" w:val="clear"/>
            <w:vAlign w:val="center"/>
          </w:tcPr>
          <w:p>
            <w:pPr>
              <w:pStyle w:val="TableContents"/>
              <w:spacing w:before="0" w:after="0"/>
              <w:ind w:left="0" w:right="0" w:hanging="0"/>
              <w:jc w:val="right"/>
              <w:rPr/>
            </w:pPr>
            <w:r>
              <w:rPr/>
              <w:t>—</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 Yang</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6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651" w:type="dxa"/>
            <w:tcBorders/>
            <w:shd w:fill="auto" w:val="clear"/>
            <w:vAlign w:val="center"/>
          </w:tcPr>
          <w:p>
            <w:pPr>
              <w:pStyle w:val="TableContents"/>
              <w:spacing w:before="0" w:after="0"/>
              <w:ind w:left="0" w:right="60" w:hanging="0"/>
              <w:jc w:val="right"/>
              <w:rPr/>
            </w:pPr>
            <w:r>
              <w:rPr/>
              <w:t>—</w:t>
            </w:r>
          </w:p>
        </w:tc>
      </w:tr>
    </w:tbl>
    <w:tbl>
      <w:tblPr>
        <w:tblW w:w="4877" w:type="dxa"/>
        <w:jc w:val="left"/>
        <w:tblInd w:w="0" w:type="dxa"/>
        <w:tblCellMar>
          <w:top w:w="0" w:type="dxa"/>
          <w:left w:w="0" w:type="dxa"/>
          <w:bottom w:w="0" w:type="dxa"/>
          <w:right w:w="0" w:type="dxa"/>
        </w:tblCellMar>
      </w:tblPr>
      <w:tblGrid>
        <w:gridCol w:w="211"/>
        <w:gridCol w:w="4666"/>
      </w:tblGrid>
      <w:tr>
        <w:trPr/>
        <w:tc>
          <w:tcPr>
            <w:tcW w:w="211" w:type="dxa"/>
            <w:tcBorders/>
            <w:shd w:fill="auto" w:val="clear"/>
            <w:vAlign w:val="center"/>
          </w:tcPr>
          <w:p>
            <w:pPr>
              <w:pStyle w:val="TableContents"/>
              <w:spacing w:before="0" w:after="120"/>
              <w:rPr>
                <w:rFonts w:ascii="Times New Roman;Times;serif" w:hAnsi="Times New Roman;Times;serif"/>
                <w:sz w:val="16"/>
              </w:rPr>
            </w:pPr>
            <w:r>
              <w:rPr>
                <w:rFonts w:ascii="Times New Roman;Times;serif" w:hAnsi="Times New Roman;Times;serif"/>
                <w:sz w:val="16"/>
              </w:rPr>
              <w:t>*</w:t>
            </w:r>
          </w:p>
        </w:tc>
        <w:tc>
          <w:tcPr>
            <w:tcW w:w="4666" w:type="dxa"/>
            <w:tcBorders/>
            <w:shd w:fill="auto" w:val="clear"/>
            <w:vAlign w:val="center"/>
          </w:tcPr>
          <w:p>
            <w:pPr>
              <w:pStyle w:val="TableContents"/>
              <w:spacing w:before="0" w:after="120"/>
              <w:rPr>
                <w:rFonts w:ascii="Times New Roman;Times;serif" w:hAnsi="Times New Roman;Times;serif"/>
                <w:sz w:val="16"/>
              </w:rPr>
            </w:pPr>
            <w:r>
              <w:rPr>
                <w:rFonts w:ascii="Times New Roman;Times;serif" w:hAnsi="Times New Roman;Times;serif"/>
                <w:sz w:val="16"/>
              </w:rPr>
              <w:t>Less than 1% of our total issued and outstanding ordinary shares.</w:t>
            </w:r>
          </w:p>
        </w:tc>
      </w:tr>
    </w:tbl>
    <w:tbl>
      <w:tblPr>
        <w:tblW w:w="1817" w:type="dxa"/>
        <w:jc w:val="left"/>
        <w:tblInd w:w="0" w:type="dxa"/>
        <w:tblCellMar>
          <w:top w:w="0" w:type="dxa"/>
          <w:left w:w="0" w:type="dxa"/>
          <w:bottom w:w="0" w:type="dxa"/>
          <w:right w:w="0" w:type="dxa"/>
        </w:tblCellMar>
      </w:tblPr>
      <w:tblGrid>
        <w:gridCol w:w="301"/>
        <w:gridCol w:w="1516"/>
      </w:tblGrid>
      <w:tr>
        <w:trPr/>
        <w:tc>
          <w:tcPr>
            <w:tcW w:w="30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C.</w:t>
            </w:r>
          </w:p>
        </w:tc>
        <w:tc>
          <w:tcPr>
            <w:tcW w:w="151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Board Practices</w:t>
            </w:r>
          </w:p>
        </w:tc>
      </w:tr>
    </w:tbl>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consists of seven directors as of the date of this annual report. Of these initial seven directors, three are independent. A director is not required to hold any shares in our company by way of qualification. A director may vote with respect to any contract, proposed contract or arrangement in which he or she is materially interested provided (i) such director, if his or her interest in such contract or arrangement is material, has declared the nature of his or her interest at the earliest meeting of the board at which it is practicable for him or her to do so, either specifically or by way of a general notice, (ii) such director has not been disqualified by the chairman of the relevant board meeting, and (iii) if such contract or arrangement is a transaction with a related party, such transaction has been approved by the audit committee in accordance with the Nasdaq rules. The directors may exercise all the powers of our company to borrow money, mortgage its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Committees of the Board of Directors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We have adopted a charter for each of these committees. Each committee’s members and functions are described below.</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Audit Committee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committee consists of Guang Yang, Sheldon Trainor-DeGirolamo and Naphat Sirimongkolkasem. Sheldon Trainor-DeGirolamo is the chairperson of our audit committee. Each of Guang Yang, Sheldon Trainor-DeGirolamo and Naphat Sirimongkolkasem satisfies the independence requirements under Rule 5605(c)(2) of the Nasdaq Stock Market Rules and meets the criteria for independence set forth in Rule 10A-3 of the Exchange Act, as well as the criteria of an audit committee financial expert as set forth under the applicable rules of the SEC.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committee will oversee our company’s accounting and financial reporting processes and the audits of our financial statements. The audit committee will be responsible for, among other things:</w:t>
      </w:r>
    </w:p>
    <w:tbl>
      <w:tblPr>
        <w:tblW w:w="3246" w:type="dxa"/>
        <w:jc w:val="left"/>
        <w:tblInd w:w="0" w:type="dxa"/>
        <w:tblCellMar>
          <w:top w:w="0" w:type="dxa"/>
          <w:left w:w="0" w:type="dxa"/>
          <w:bottom w:w="0" w:type="dxa"/>
          <w:right w:w="0" w:type="dxa"/>
        </w:tblCellMar>
      </w:tblPr>
      <w:tblGrid>
        <w:gridCol w:w="124"/>
        <w:gridCol w:w="181"/>
        <w:gridCol w:w="29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9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selecting the independent auditor;</w:t>
            </w:r>
          </w:p>
        </w:tc>
      </w:tr>
    </w:tbl>
    <w:tbl>
      <w:tblPr>
        <w:tblW w:w="8946" w:type="dxa"/>
        <w:jc w:val="left"/>
        <w:tblInd w:w="0" w:type="dxa"/>
        <w:tblCellMar>
          <w:top w:w="0" w:type="dxa"/>
          <w:left w:w="0" w:type="dxa"/>
          <w:bottom w:w="0" w:type="dxa"/>
          <w:right w:w="0" w:type="dxa"/>
        </w:tblCellMar>
      </w:tblPr>
      <w:tblGrid>
        <w:gridCol w:w="124"/>
        <w:gridCol w:w="181"/>
        <w:gridCol w:w="86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6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pre-approving auditing and non-auditing services permitted to be performed by the independent auditor;</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tc>
      </w:tr>
    </w:tbl>
    <w:tbl>
      <w:tblPr>
        <w:tblW w:w="7911" w:type="dxa"/>
        <w:jc w:val="left"/>
        <w:tblInd w:w="0" w:type="dxa"/>
        <w:tblCellMar>
          <w:top w:w="0" w:type="dxa"/>
          <w:left w:w="0" w:type="dxa"/>
          <w:bottom w:w="0" w:type="dxa"/>
          <w:right w:w="0" w:type="dxa"/>
        </w:tblCellMar>
      </w:tblPr>
      <w:tblGrid>
        <w:gridCol w:w="124"/>
        <w:gridCol w:w="181"/>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6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responsibilities, budget, compensation and staffing of our internal audit function;</w:t>
            </w:r>
          </w:p>
        </w:tc>
      </w:tr>
    </w:tbl>
    <w:tbl>
      <w:tblPr>
        <w:tblW w:w="8781" w:type="dxa"/>
        <w:jc w:val="left"/>
        <w:tblInd w:w="0" w:type="dxa"/>
        <w:tblCellMar>
          <w:top w:w="0" w:type="dxa"/>
          <w:left w:w="0" w:type="dxa"/>
          <w:bottom w:w="0" w:type="dxa"/>
          <w:right w:w="0" w:type="dxa"/>
        </w:tblCellMar>
      </w:tblPr>
      <w:tblGrid>
        <w:gridCol w:w="124"/>
        <w:gridCol w:w="181"/>
        <w:gridCol w:w="84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4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with the independent auditor any audit problems or difficulties and management’s response;</w:t>
            </w:r>
          </w:p>
        </w:tc>
      </w:tr>
    </w:tbl>
    <w:tbl>
      <w:tblPr>
        <w:tblW w:w="7536" w:type="dxa"/>
        <w:jc w:val="left"/>
        <w:tblInd w:w="0" w:type="dxa"/>
        <w:tblCellMar>
          <w:top w:w="0" w:type="dxa"/>
          <w:left w:w="0" w:type="dxa"/>
          <w:bottom w:w="0" w:type="dxa"/>
          <w:right w:w="0" w:type="dxa"/>
        </w:tblCellMar>
      </w:tblPr>
      <w:tblGrid>
        <w:gridCol w:w="124"/>
        <w:gridCol w:w="181"/>
        <w:gridCol w:w="72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2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and, if material, approving all related party transactions on an ongoing basis;</w:t>
            </w:r>
          </w:p>
        </w:tc>
      </w:tr>
    </w:tbl>
    <w:tbl>
      <w:tblPr>
        <w:tblW w:w="9621" w:type="dxa"/>
        <w:jc w:val="left"/>
        <w:tblInd w:w="0" w:type="dxa"/>
        <w:tblCellMar>
          <w:top w:w="0" w:type="dxa"/>
          <w:left w:w="0" w:type="dxa"/>
          <w:bottom w:w="0" w:type="dxa"/>
          <w:right w:w="0" w:type="dxa"/>
        </w:tblCellMar>
      </w:tblPr>
      <w:tblGrid>
        <w:gridCol w:w="124"/>
        <w:gridCol w:w="181"/>
        <w:gridCol w:w="93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3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and discussing the annual audited financial statements with management and the independent auditor;</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and discussing with management and the independent auditors major issues regarding accounting principles and financial statement presentations;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reports prepared by management or the independent auditors relating to significant financial reporting issues and judgments;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discussing earnings press releases with management, as well as financial information and earnings guidance provided to analysts and rating agencies;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with management and the independent auditors the effect of regulatory and accounting initiatives, as well as off-balance sheet structures, on our financial statements;</w:t>
            </w:r>
          </w:p>
        </w:tc>
      </w:tr>
    </w:tbl>
    <w:tbl>
      <w:tblPr>
        <w:tblW w:w="9546" w:type="dxa"/>
        <w:jc w:val="left"/>
        <w:tblInd w:w="0" w:type="dxa"/>
        <w:tblCellMar>
          <w:top w:w="0" w:type="dxa"/>
          <w:left w:w="0" w:type="dxa"/>
          <w:bottom w:w="0" w:type="dxa"/>
          <w:right w:w="0" w:type="dxa"/>
        </w:tblCellMar>
      </w:tblPr>
      <w:tblGrid>
        <w:gridCol w:w="124"/>
        <w:gridCol w:w="181"/>
        <w:gridCol w:w="92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2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discussing policies with respect to risk assessment and risk management with management and internal auditors;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timely reviewing reports from the independent auditor regarding all critical accounting policies and practices to be used by us, all alternative treatments of financial information within IFRS that have been discussed with management and all other material written communications between the independent auditor and management;</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tc>
      </w:tr>
    </w:tbl>
    <w:tbl>
      <w:tblPr>
        <w:tblW w:w="10176" w:type="dxa"/>
        <w:jc w:val="left"/>
        <w:tblInd w:w="0" w:type="dxa"/>
        <w:tblCellMar>
          <w:top w:w="0" w:type="dxa"/>
          <w:left w:w="0" w:type="dxa"/>
          <w:bottom w:w="0" w:type="dxa"/>
          <w:right w:w="0" w:type="dxa"/>
        </w:tblCellMar>
      </w:tblPr>
      <w:tblGrid>
        <w:gridCol w:w="124"/>
        <w:gridCol w:w="181"/>
        <w:gridCol w:w="98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8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such other matters that are specifically delegated to our audit committee by our board of directors from time to time; and</w:t>
            </w:r>
          </w:p>
        </w:tc>
      </w:tr>
    </w:tbl>
    <w:tbl>
      <w:tblPr>
        <w:tblW w:w="8406" w:type="dxa"/>
        <w:jc w:val="left"/>
        <w:tblInd w:w="0" w:type="dxa"/>
        <w:tblCellMar>
          <w:top w:w="0" w:type="dxa"/>
          <w:left w:w="0" w:type="dxa"/>
          <w:bottom w:w="0" w:type="dxa"/>
          <w:right w:w="0" w:type="dxa"/>
        </w:tblCellMar>
      </w:tblPr>
      <w:tblGrid>
        <w:gridCol w:w="124"/>
        <w:gridCol w:w="181"/>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1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meeting separately, periodically, with management, internal auditors and the independent auditor.</w:t>
            </w:r>
          </w:p>
        </w:tc>
      </w:tr>
    </w:tbl>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Compensation Committee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committee consists of Jihan Wu, Linghui Kong and Guang Yang. Jihan Wu will be the chairperson of the compensation committee. Guang Yang satisfies the independence requirements under Rule 5605(a)(2) of the Nasdaq Stock Market Rules.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committee will be responsible for, among other things:</w:t>
      </w:r>
    </w:p>
    <w:tbl>
      <w:tblPr>
        <w:tblW w:w="7221" w:type="dxa"/>
        <w:jc w:val="left"/>
        <w:tblInd w:w="0" w:type="dxa"/>
        <w:tblCellMar>
          <w:top w:w="0" w:type="dxa"/>
          <w:left w:w="0" w:type="dxa"/>
          <w:bottom w:w="0" w:type="dxa"/>
          <w:right w:w="0" w:type="dxa"/>
        </w:tblCellMar>
      </w:tblPr>
      <w:tblGrid>
        <w:gridCol w:w="124"/>
        <w:gridCol w:w="181"/>
        <w:gridCol w:w="69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9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evaluating and, if necessary, revising our overall compensation policies;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and evaluating the performance of our directors and relevant executive officers and determining the compensation of relevant executive officers;</w:t>
            </w:r>
          </w:p>
        </w:tc>
      </w:tr>
    </w:tbl>
    <w:tbl>
      <w:tblPr>
        <w:tblW w:w="7956" w:type="dxa"/>
        <w:jc w:val="left"/>
        <w:tblInd w:w="0" w:type="dxa"/>
        <w:tblCellMar>
          <w:top w:w="0" w:type="dxa"/>
          <w:left w:w="0" w:type="dxa"/>
          <w:bottom w:w="0" w:type="dxa"/>
          <w:right w:w="0" w:type="dxa"/>
        </w:tblCellMar>
      </w:tblPr>
      <w:tblGrid>
        <w:gridCol w:w="124"/>
        <w:gridCol w:w="181"/>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6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and approving our executive officers’ employment agreements with our company;</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setting performance targets for relevant executive officers with respect to our incentive compensation plan and equity-based compensation plans;</w:t>
            </w:r>
          </w:p>
        </w:tc>
      </w:tr>
    </w:tbl>
    <w:tbl>
      <w:tblPr>
        <w:tblW w:w="8031" w:type="dxa"/>
        <w:jc w:val="left"/>
        <w:tblInd w:w="0" w:type="dxa"/>
        <w:tblCellMar>
          <w:top w:w="0" w:type="dxa"/>
          <w:left w:w="0" w:type="dxa"/>
          <w:bottom w:w="0" w:type="dxa"/>
          <w:right w:w="0" w:type="dxa"/>
        </w:tblCellMar>
      </w:tblPr>
      <w:tblGrid>
        <w:gridCol w:w="124"/>
        <w:gridCol w:w="181"/>
        <w:gridCol w:w="77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7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administering our equity-based compensation plans in accordance with the terms thereof;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such other matters that are specifically delegated to the compensation committee by our board of directors from time to time.</w:t>
            </w:r>
          </w:p>
        </w:tc>
      </w:tr>
    </w:tbl>
    <w:p>
      <w:pPr>
        <w:pStyle w:val="TextBody"/>
        <w:pBdr/>
        <w:spacing w:before="0" w:after="240"/>
        <w:ind w:left="0" w:right="0" w:hanging="360"/>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nominating and corporate governance committee will initially consist of Jihan Wu, Linghui Kong and Sheldon Trainor-DeGirolamo. Jihan Wu will be the chairperson of the nominating and corporate governance committee. Sheldon Trainor-DeGirolamo satisfies the independence requirements under Rule 5605(a)(2) of the Nasdaq Stock Market Rules.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nominating and corporate governance committee will be responsible for, among other things: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selecting and recommending to our board of directors nominees for election by the shareholders or appointment by the board;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reviewing annually with our board of directors the current composition of our board of directors with regards to characteristics such as independence, knowledge, skills, experience and diversity;</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making recommendations on the frequency and structure of our board of directors meetings and monitoring the functioning of the committees of our board of directors;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advising our board of directors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Duties of Directors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laws of the Cayman Islands, our directors have a fiduciary duty to act honestly in good faith with a view to the company’s best interests. Our directors also have a duty to exercise the care, diligence and skill that a reasonably prudent person would exercise in comparable circumstances. In fulfilling their duty of care to us, our directors must ensure compliance with our memorandum and articles of association, as amended and restated from time to time. A shareholder has the right to seek damages if a duty owed by the directors is breached.</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Terms of Directors and Executive Officers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directors may be appointed by an ordinary resolution of our shareholders. In addition, our board of directors may, by the affirmative vote of a simple majority of the directors present and voting at a board meeting appoint any person as a director either to fill a casual vacancy on our board or as an addition to the existing board. Unless otherwise determined by our company in general meeting, we shall have no less than three (3) and no more than twelve (12) directors. A director will cease to be a director automatically if the director (i) becomes bankrupt or makes any arrangement or composition with his creditors; (ii) dies or is found to be or becomes of unsound mind; (iii) resigns his office by notice in writing to our company; (iv) without special leave of absence from our board, is absent from three consecutive board meetings and our directors resolve that his office be vacated; or (v) is removed from office pursuant to any other provisions of our memorandum and articles of association.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officers are elected by and serve at the discretion of our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Board Diversity Matrix</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provides certain information regarding the diversity of our board of directors as of the date of this annual report, pursuant to Nasdaq’s Board Diversity Rule.</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Board Diversity Matrix</w:t>
      </w:r>
    </w:p>
    <w:tbl>
      <w:tblPr>
        <w:tblW w:w="5563" w:type="dxa"/>
        <w:jc w:val="left"/>
        <w:tblInd w:w="0" w:type="dxa"/>
        <w:tblCellMar>
          <w:top w:w="0" w:type="dxa"/>
          <w:left w:w="0" w:type="dxa"/>
          <w:bottom w:w="0" w:type="dxa"/>
          <w:right w:w="0" w:type="dxa"/>
        </w:tblCellMar>
      </w:tblPr>
      <w:tblGrid>
        <w:gridCol w:w="4216"/>
        <w:gridCol w:w="326"/>
        <w:gridCol w:w="1021"/>
      </w:tblGrid>
      <w:tr>
        <w:trPr/>
        <w:tc>
          <w:tcPr>
            <w:tcW w:w="4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77160" cy="175260"/>
                      <wp:effectExtent l="0" t="0" r="0" b="0"/>
                      <wp:wrapNone/>
                      <wp:docPr id="110" name="Frame109"/>
                      <a:graphic xmlns:a="http://schemas.openxmlformats.org/drawingml/2006/main">
                        <a:graphicData uri="http://schemas.microsoft.com/office/word/2010/wordprocessingShape">
                          <wps:wsp>
                            <wps:cNvSpPr txBox="1"/>
                            <wps:spPr>
                              <a:xfrm>
                                <a:off x="0" y="0"/>
                                <a:ext cx="267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335" cy="175260"/>
                      <wp:effectExtent l="0" t="0" r="0" b="0"/>
                      <wp:wrapNone/>
                      <wp:docPr id="112" name="Frame111"/>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Country of Principal Executive Offices</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Singapore</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Foreign Private Issuer</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Yes</w: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Disclosure Prohibited under Home Country Law</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No</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Number of Directors</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7</w:t>
            </w:r>
          </w:p>
        </w:tc>
      </w:tr>
    </w:tbl>
    <w:p>
      <w:pPr>
        <w:pStyle w:val="TextBody"/>
        <w:spacing w:before="0" w:after="0"/>
        <w:ind w:left="0" w:right="0" w:hanging="0"/>
        <w:rPr/>
      </w:pPr>
      <w:r>
        <w:rPr/>
        <w:t>​</w:t>
      </w:r>
    </w:p>
    <w:tbl>
      <w:tblPr>
        <w:tblW w:w="8629" w:type="dxa"/>
        <w:jc w:val="left"/>
        <w:tblInd w:w="0" w:type="dxa"/>
        <w:tblCellMar>
          <w:top w:w="0" w:type="dxa"/>
          <w:left w:w="0" w:type="dxa"/>
          <w:bottom w:w="0" w:type="dxa"/>
          <w:right w:w="0" w:type="dxa"/>
        </w:tblCellMar>
      </w:tblPr>
      <w:tblGrid>
        <w:gridCol w:w="4906"/>
        <w:gridCol w:w="326"/>
        <w:gridCol w:w="631"/>
        <w:gridCol w:w="326"/>
        <w:gridCol w:w="466"/>
        <w:gridCol w:w="326"/>
        <w:gridCol w:w="601"/>
        <w:gridCol w:w="326"/>
        <w:gridCol w:w="721"/>
      </w:tblGrid>
      <w:tr>
        <w:trPr/>
        <w:tc>
          <w:tcPr>
            <w:tcW w:w="4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115310" cy="175260"/>
                      <wp:effectExtent l="0" t="0" r="0" b="0"/>
                      <wp:wrapNone/>
                      <wp:docPr id="113" name="Frame112"/>
                      <a:graphic xmlns:a="http://schemas.openxmlformats.org/drawingml/2006/main">
                        <a:graphicData uri="http://schemas.microsoft.com/office/word/2010/wordprocessingShape">
                          <wps:wsp>
                            <wps:cNvSpPr txBox="1"/>
                            <wps:spPr>
                              <a:xfrm>
                                <a:off x="0" y="0"/>
                                <a:ext cx="311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0685" cy="175260"/>
                      <wp:effectExtent l="0" t="0" r="0" b="0"/>
                      <wp:wrapNone/>
                      <wp:docPr id="115" name="Frame114"/>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95910" cy="175260"/>
                      <wp:effectExtent l="0" t="0" r="0" b="0"/>
                      <wp:wrapNone/>
                      <wp:docPr id="117" name="Frame11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81635" cy="175260"/>
                      <wp:effectExtent l="0" t="0" r="0" b="0"/>
                      <wp:wrapNone/>
                      <wp:docPr id="119" name="Frame118"/>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57835" cy="175260"/>
                      <wp:effectExtent l="0" t="0" r="0" b="0"/>
                      <wp:wrapNone/>
                      <wp:docPr id="121" name="Frame12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Did Not</w:t>
            </w:r>
          </w:p>
        </w:tc>
      </w:tr>
      <w:tr>
        <w:trPr/>
        <w:tc>
          <w:tcPr>
            <w:tcW w:w="4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Disclose</w:t>
            </w:r>
          </w:p>
        </w:tc>
      </w:tr>
      <w:tr>
        <w:trPr/>
        <w:tc>
          <w:tcPr>
            <w:tcW w:w="49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Female</w:t>
            </w:r>
          </w:p>
        </w:tc>
        <w:tc>
          <w:tcPr>
            <w:tcW w:w="326" w:type="dxa"/>
            <w:tcBorders/>
            <w:shd w:fill="auto" w:val="clear"/>
            <w:vAlign w:val="center"/>
          </w:tcPr>
          <w:p>
            <w:pPr>
              <w:pStyle w:val="TableContents"/>
              <w:spacing w:before="0" w:after="0"/>
              <w:ind w:left="0" w:right="0" w:hanging="0"/>
              <w:jc w:val="center"/>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Male</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Binary</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Gender</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Part I: Gender Identity</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Directors</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49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rPr/>
            </w:pPr>
            <w:r>
              <w:rPr/>
              <w:t>​</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Part II: Demographic Background</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r>
        <w:trPr/>
        <w:tc>
          <w:tcPr>
            <w:tcW w:w="49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LGBTQ+</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r>
      <w:tr>
        <w:trPr/>
        <w:tc>
          <w:tcPr>
            <w:tcW w:w="49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Did Not Disclose Demographic Background</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bl>
    <w:p>
      <w:pPr>
        <w:pStyle w:val="TextBody"/>
        <w:spacing w:before="0" w:after="0"/>
        <w:ind w:left="0" w:right="0" w:hanging="0"/>
        <w:rPr/>
      </w:pPr>
      <w:r>
        <w:rPr/>
        <w:t>​</w:t>
      </w:r>
    </w:p>
    <w:tbl>
      <w:tblPr>
        <w:tblW w:w="1382" w:type="dxa"/>
        <w:jc w:val="left"/>
        <w:tblInd w:w="0" w:type="dxa"/>
        <w:tblCellMar>
          <w:top w:w="0" w:type="dxa"/>
          <w:left w:w="0" w:type="dxa"/>
          <w:bottom w:w="0" w:type="dxa"/>
          <w:right w:w="0" w:type="dxa"/>
        </w:tblCellMar>
      </w:tblPr>
      <w:tblGrid>
        <w:gridCol w:w="301"/>
        <w:gridCol w:w="108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10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Employees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and as a result of the contemplation of the Business Combination, the business of the Company is conducted through Bitdeer Technologies Holding Company.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had approximately 142 and 183 full-time employees as of December 2021 and 2022, respectively. We did not have full-time employees as of December 31, 2020 as we operated as part of Bitmain until January 2021. We also hire part-time employees from time to time. Of the 183 full-time employees as of December 31, 2022, approximately 34 were engaged in research and development activities and 149 were engaged in business development, finance, information system, facilities, human resources or administrative support. Most of our employees are located in Singapore and United States. None of our employees is represented by a labor union or subject to a collective bargaining agreement. We believe that we maintain a good working relationship with our employees, and we have not experienced any material disputes with our employees in our history.</w:t>
      </w:r>
    </w:p>
    <w:tbl>
      <w:tblPr>
        <w:tblW w:w="1907" w:type="dxa"/>
        <w:jc w:val="left"/>
        <w:tblInd w:w="0" w:type="dxa"/>
        <w:tblCellMar>
          <w:top w:w="0" w:type="dxa"/>
          <w:left w:w="0" w:type="dxa"/>
          <w:bottom w:w="0" w:type="dxa"/>
          <w:right w:w="0" w:type="dxa"/>
        </w:tblCellMar>
      </w:tblPr>
      <w:tblGrid>
        <w:gridCol w:w="301"/>
        <w:gridCol w:w="160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w:t>
            </w:r>
          </w:p>
        </w:tc>
        <w:tc>
          <w:tcPr>
            <w:tcW w:w="16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Share Ownership</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regarding the beneficial ownership of Ordinary Shares as of April 21, 2023:</w:t>
      </w:r>
    </w:p>
    <w:tbl>
      <w:tblPr>
        <w:tblW w:w="7626" w:type="dxa"/>
        <w:jc w:val="left"/>
        <w:tblInd w:w="0" w:type="dxa"/>
        <w:tblCellMar>
          <w:top w:w="0" w:type="dxa"/>
          <w:left w:w="0" w:type="dxa"/>
          <w:bottom w:w="0" w:type="dxa"/>
          <w:right w:w="0" w:type="dxa"/>
        </w:tblCellMar>
      </w:tblPr>
      <w:tblGrid>
        <w:gridCol w:w="124"/>
        <w:gridCol w:w="181"/>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73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each person known by us to be the beneficial owner of more than 5% of Ordinary Shares;</w:t>
            </w:r>
          </w:p>
        </w:tc>
      </w:tr>
    </w:tbl>
    <w:tbl>
      <w:tblPr>
        <w:tblW w:w="4341" w:type="dxa"/>
        <w:jc w:val="left"/>
        <w:tblInd w:w="0" w:type="dxa"/>
        <w:tblCellMar>
          <w:top w:w="0" w:type="dxa"/>
          <w:left w:w="0" w:type="dxa"/>
          <w:bottom w:w="0" w:type="dxa"/>
          <w:right w:w="0" w:type="dxa"/>
        </w:tblCellMar>
      </w:tblPr>
      <w:tblGrid>
        <w:gridCol w:w="124"/>
        <w:gridCol w:w="181"/>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403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each of our directors and executive officers; and</w:t>
            </w:r>
          </w:p>
        </w:tc>
      </w:tr>
    </w:tbl>
    <w:tbl>
      <w:tblPr>
        <w:tblW w:w="4476" w:type="dxa"/>
        <w:jc w:val="left"/>
        <w:tblInd w:w="0" w:type="dxa"/>
        <w:tblCellMar>
          <w:top w:w="0" w:type="dxa"/>
          <w:left w:w="0" w:type="dxa"/>
          <w:bottom w:w="0" w:type="dxa"/>
          <w:right w:w="0" w:type="dxa"/>
        </w:tblCellMar>
      </w:tblPr>
      <w:tblGrid>
        <w:gridCol w:w="124"/>
        <w:gridCol w:w="181"/>
        <w:gridCol w:w="41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41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our directors and executive officers as a group.</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Beneficial ownership is determined according to the rules of the SEC, which generally provide that a person has beneficial ownership of a security if that person possesses sole or shared voting or investment power over that security. A person is also deemed to be a beneficial owner of securities that person has a right to acquire within 60 days including, without limitation, through the exercise of any option, warrant or other right or the conversion of any other security. Such securities, however, are deemed to be outstanding only for the purpose of computing the percentage beneficial ownership of that person but are not deemed to be outstanding for the purpose of computing the percentage beneficial ownership of any other person. Under these rules, more than one person may be deemed to be a beneficial owner of the same securities.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April 21, 2023, there are 62,888,683 Class A Ordinary Shares and 48,399,922 Class V Ordinary Shares issued and outstanding.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Unless otherwise indicated, we believe that all persons named in the table below have sole voting and investment power with respect to all shares of voting shares beneficially owned by them.</w:t>
      </w:r>
    </w:p>
    <w:tbl>
      <w:tblPr>
        <w:tblW w:w="10205" w:type="dxa"/>
        <w:jc w:val="left"/>
        <w:tblInd w:w="0" w:type="dxa"/>
        <w:tblCellMar>
          <w:top w:w="0" w:type="dxa"/>
          <w:left w:w="0" w:type="dxa"/>
          <w:bottom w:w="0" w:type="dxa"/>
          <w:right w:w="0" w:type="dxa"/>
        </w:tblCellMar>
      </w:tblPr>
      <w:tblGrid>
        <w:gridCol w:w="5166"/>
        <w:gridCol w:w="326"/>
        <w:gridCol w:w="1036"/>
        <w:gridCol w:w="326"/>
        <w:gridCol w:w="1036"/>
        <w:gridCol w:w="326"/>
        <w:gridCol w:w="901"/>
        <w:gridCol w:w="326"/>
        <w:gridCol w:w="762"/>
      </w:tblGrid>
      <w:tr>
        <w:trPr/>
        <w:tc>
          <w:tcPr>
            <w:tcW w:w="5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280410" cy="175260"/>
                      <wp:effectExtent l="0" t="0" r="0" b="0"/>
                      <wp:wrapNone/>
                      <wp:docPr id="122" name="Frame121"/>
                      <a:graphic xmlns:a="http://schemas.openxmlformats.org/drawingml/2006/main">
                        <a:graphicData uri="http://schemas.microsoft.com/office/word/2010/wordprocessingShape">
                          <wps:wsp>
                            <wps:cNvSpPr txBox="1"/>
                            <wps:spPr>
                              <a:xfrm>
                                <a:off x="0" y="0"/>
                                <a:ext cx="328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57860" cy="175260"/>
                      <wp:effectExtent l="0" t="0" r="0" b="0"/>
                      <wp:wrapNone/>
                      <wp:docPr id="124" name="Frame12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7860" cy="175260"/>
                      <wp:effectExtent l="0" t="0" r="0" b="0"/>
                      <wp:wrapNone/>
                      <wp:docPr id="126" name="Frame12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2135" cy="175260"/>
                      <wp:effectExtent l="0" t="0" r="0" b="0"/>
                      <wp:wrapNone/>
                      <wp:docPr id="128" name="Frame12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83870" cy="175260"/>
                      <wp:effectExtent l="0" t="0" r="0" b="0"/>
                      <wp:wrapNone/>
                      <wp:docPr id="130" name="Frame129"/>
                      <a:graphic xmlns:a="http://schemas.openxmlformats.org/drawingml/2006/main">
                        <a:graphicData uri="http://schemas.microsoft.com/office/word/2010/wordprocessingShape">
                          <wps:wsp>
                            <wps:cNvSpPr txBox="1"/>
                            <wps:spPr>
                              <a:xfrm>
                                <a:off x="0" y="0"/>
                                <a:ext cx="483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6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Class A </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Class V </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of Total</w:t>
            </w:r>
          </w:p>
        </w:tc>
        <w:tc>
          <w:tcPr>
            <w:tcW w:w="326" w:type="dxa"/>
            <w:tcBorders/>
            <w:shd w:fill="auto" w:val="clear"/>
            <w:vAlign w:val="center"/>
          </w:tcPr>
          <w:p>
            <w:pPr>
              <w:pStyle w:val="TableContents"/>
              <w:spacing w:before="0" w:after="0"/>
              <w:ind w:left="0" w:right="0" w:hanging="0"/>
              <w:jc w:val="center"/>
              <w:rPr/>
            </w:pPr>
            <w:r>
              <w:rPr/>
              <w:t>​</w:t>
            </w:r>
          </w:p>
        </w:tc>
        <w:tc>
          <w:tcPr>
            <w:tcW w:w="762"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of </w:t>
            </w:r>
          </w:p>
        </w:tc>
      </w:tr>
      <w:tr>
        <w:trPr/>
        <w:tc>
          <w:tcPr>
            <w:tcW w:w="516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Ordinary </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Ordinary </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color w:val="231F20"/>
              </w:rPr>
            </w:pPr>
            <w:r>
              <w:rPr>
                <w:color w:val="231F20"/>
              </w:rPr>
              <w:t> </w:t>
            </w:r>
            <w:r>
              <w:rPr>
                <w:rFonts w:ascii="Times New Roman;Times;serif" w:hAnsi="Times New Roman;Times;serif"/>
                <w:b/>
                <w:color w:val="231F20"/>
                <w:sz w:val="16"/>
              </w:rPr>
              <w:t>Ordinary </w:t>
            </w:r>
          </w:p>
        </w:tc>
        <w:tc>
          <w:tcPr>
            <w:tcW w:w="326" w:type="dxa"/>
            <w:tcBorders/>
            <w:shd w:fill="auto" w:val="clear"/>
            <w:vAlign w:val="center"/>
          </w:tcPr>
          <w:p>
            <w:pPr>
              <w:pStyle w:val="TableContents"/>
              <w:spacing w:before="0" w:after="0"/>
              <w:ind w:left="0" w:right="0" w:hanging="0"/>
              <w:jc w:val="center"/>
              <w:rPr/>
            </w:pPr>
            <w:r>
              <w:rPr/>
              <w:t>​</w:t>
            </w:r>
          </w:p>
        </w:tc>
        <w:tc>
          <w:tcPr>
            <w:tcW w:w="762"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Voting </w:t>
            </w:r>
          </w:p>
        </w:tc>
      </w:tr>
      <w:tr>
        <w:trPr/>
        <w:tc>
          <w:tcPr>
            <w:tcW w:w="516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762"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color w:val="231F20"/>
                <w:sz w:val="16"/>
              </w:rPr>
              <w:t>Power</w:t>
            </w:r>
            <w:r>
              <w:rPr>
                <w:rFonts w:ascii="Times New Roman;Times;serif" w:hAnsi="Times New Roman;Times;serif"/>
                <w:b/>
                <w:color w:val="231F20"/>
                <w:sz w:val="12"/>
              </w:rPr>
              <w:t>(2)</w:t>
            </w:r>
          </w:p>
        </w:tc>
      </w:tr>
      <w:tr>
        <w:trPr/>
        <w:tc>
          <w:tcPr>
            <w:tcW w:w="516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color w:val="231F20"/>
                <w:sz w:val="20"/>
              </w:rPr>
              <w:t>Directors and Executive Officers</w:t>
            </w:r>
            <w:r>
              <w:rPr>
                <w:rFonts w:ascii="Times New Roman;Times;serif" w:hAnsi="Times New Roman;Times;serif"/>
                <w:b/>
                <w:color w:val="231F20"/>
                <w:sz w:val="15"/>
              </w:rPr>
              <w:t>(1)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0" w:hanging="0"/>
              <w:jc w:val="right"/>
              <w:rPr/>
            </w:pPr>
            <w:r>
              <w:rPr/>
              <w:t>  </w:t>
            </w:r>
          </w:p>
        </w:tc>
      </w:tr>
      <w:tr>
        <w:trPr/>
        <w:tc>
          <w:tcPr>
            <w:tcW w:w="516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color w:val="231F20"/>
                <w:sz w:val="20"/>
              </w:rPr>
              <w:t>Jihan Wu</w:t>
            </w:r>
            <w:r>
              <w:rPr>
                <w:rFonts w:ascii="Times New Roman;Times;serif" w:hAnsi="Times New Roman;Times;serif"/>
                <w:color w:val="231F20"/>
                <w:sz w:val="15"/>
              </w:rPr>
              <w:t>(3)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48,399,922</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r>
      <w:tr>
        <w:trPr/>
        <w:tc>
          <w:tcPr>
            <w:tcW w:w="516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Linghui Kong</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0" w:hanging="0"/>
              <w:jc w:val="right"/>
              <w:rPr/>
            </w:pPr>
            <w:r>
              <w:rPr/>
              <w:t>—</w:t>
            </w:r>
          </w:p>
        </w:tc>
      </w:tr>
      <w:tr>
        <w:trPr/>
        <w:tc>
          <w:tcPr>
            <w:tcW w:w="516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Xiaoni Meng</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pPr>
            <w:r>
              <w:rPr/>
              <w:t>—</w:t>
            </w:r>
          </w:p>
        </w:tc>
      </w:tr>
      <w:tr>
        <w:trPr/>
        <w:tc>
          <w:tcPr>
            <w:tcW w:w="516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Jianchun Liu</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0" w:hanging="0"/>
              <w:jc w:val="right"/>
              <w:rPr/>
            </w:pPr>
            <w:r>
              <w:rPr/>
              <w:t>—</w:t>
            </w:r>
          </w:p>
        </w:tc>
      </w:tr>
      <w:tr>
        <w:trPr/>
        <w:tc>
          <w:tcPr>
            <w:tcW w:w="516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Huaxin Wen</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pPr>
            <w:r>
              <w:rPr/>
              <w:t>—</w:t>
            </w:r>
          </w:p>
        </w:tc>
      </w:tr>
      <w:tr>
        <w:trPr/>
        <w:tc>
          <w:tcPr>
            <w:tcW w:w="516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Naphat Sirimongkolkasem</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0" w:hanging="0"/>
              <w:jc w:val="right"/>
              <w:rPr/>
            </w:pPr>
            <w:r>
              <w:rPr/>
              <w:t>—</w:t>
            </w:r>
          </w:p>
        </w:tc>
      </w:tr>
      <w:tr>
        <w:trPr/>
        <w:tc>
          <w:tcPr>
            <w:tcW w:w="516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Sheldon Trainor-Degirolamo</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pPr>
            <w:r>
              <w:rPr/>
              <w:t>—</w:t>
            </w:r>
          </w:p>
        </w:tc>
      </w:tr>
      <w:tr>
        <w:trPr/>
        <w:tc>
          <w:tcPr>
            <w:tcW w:w="516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Guang Yang</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0" w:hanging="0"/>
              <w:jc w:val="right"/>
              <w:rPr/>
            </w:pPr>
            <w:r>
              <w:rPr/>
              <w:t>—</w:t>
            </w:r>
          </w:p>
        </w:tc>
      </w:tr>
      <w:tr>
        <w:trPr/>
        <w:tc>
          <w:tcPr>
            <w:tcW w:w="516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All executive officers and directors as a group (eight individuals)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48,399,922</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r>
      <w:tr>
        <w:trPr/>
        <w:tc>
          <w:tcPr>
            <w:tcW w:w="5166" w:type="dxa"/>
            <w:tcBorders/>
            <w:shd w:fill="CCEEFF" w:val="clear"/>
            <w:vAlign w:val="center"/>
          </w:tcPr>
          <w:p>
            <w:pPr>
              <w:pStyle w:val="TableContents"/>
              <w:spacing w:before="0" w:after="0"/>
              <w:ind w:left="0" w:right="0" w:hanging="0"/>
              <w:rPr>
                <w:color w:val="231F20"/>
              </w:rPr>
            </w:pPr>
            <w:r>
              <w:rPr>
                <w:color w:val="231F20"/>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62" w:type="dxa"/>
            <w:tcBorders/>
            <w:shd w:fill="CCEEFF" w:val="clear"/>
            <w:vAlign w:val="center"/>
          </w:tcPr>
          <w:p>
            <w:pPr>
              <w:pStyle w:val="TableContents"/>
              <w:spacing w:before="0" w:after="0"/>
              <w:ind w:left="0" w:right="0" w:hanging="0"/>
              <w:rPr/>
            </w:pPr>
            <w:r>
              <w:rPr/>
              <w:t>​</w:t>
            </w:r>
          </w:p>
        </w:tc>
      </w:tr>
      <w:tr>
        <w:trPr/>
        <w:tc>
          <w:tcPr>
            <w:tcW w:w="5166"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5.0% Shareholders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pPr>
            <w:r>
              <w:rPr/>
              <w:t>  </w:t>
            </w:r>
          </w:p>
        </w:tc>
      </w:tr>
      <w:tr>
        <w:trPr/>
        <w:tc>
          <w:tcPr>
            <w:tcW w:w="516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color w:val="231F20"/>
                <w:sz w:val="20"/>
              </w:rPr>
              <w:t>Zhaofeng Zhao</w:t>
            </w:r>
            <w:r>
              <w:rPr>
                <w:rFonts w:ascii="Times New Roman;Times;serif" w:hAnsi="Times New Roman;Times;serif"/>
                <w:color w:val="231F20"/>
                <w:sz w:val="15"/>
              </w:rPr>
              <w:t>(4)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15,326,416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16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color w:val="231F20"/>
                <w:sz w:val="20"/>
              </w:rPr>
              <w:t>Yuesheng Ge</w:t>
            </w:r>
            <w:r>
              <w:rPr>
                <w:rFonts w:ascii="Times New Roman;Times;serif" w:hAnsi="Times New Roman;Times;serif"/>
                <w:color w:val="231F20"/>
                <w:sz w:val="15"/>
              </w:rPr>
              <w:t>(5)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10,214,395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0"/>
              <w:ind w:left="0" w:right="0" w:hanging="0"/>
              <w:rPr/>
            </w:pPr>
            <w:r>
              <w:rPr/>
              <w:t> </w:t>
            </w:r>
          </w:p>
        </w:tc>
        <w:tc>
          <w:tcPr>
            <w:tcW w:w="7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16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color w:val="231F20"/>
                <w:sz w:val="20"/>
              </w:rPr>
              <w:t>Yishuo Hu</w:t>
            </w:r>
            <w:r>
              <w:rPr>
                <w:rFonts w:ascii="Times New Roman;Times;serif" w:hAnsi="Times New Roman;Times;serif"/>
                <w:color w:val="231F20"/>
                <w:sz w:val="15"/>
              </w:rPr>
              <w:t>(6)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10,214,395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0"/>
              <w:ind w:left="0" w:right="0" w:hanging="0"/>
              <w:rPr/>
            </w:pPr>
            <w:r>
              <w:rPr/>
              <w:t> </w:t>
            </w:r>
          </w:p>
        </w:tc>
        <w:tc>
          <w:tcPr>
            <w:tcW w:w="762"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32"/>
        <w:gridCol w:w="9873"/>
      </w:tblGrid>
      <w:tr>
        <w:trPr/>
        <w:tc>
          <w:tcPr>
            <w:tcW w:w="33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for our directors and executive officers of the Company will be 08 Kallang Avenue, Aperia tower 1, #09-03/04, Singapore 339509.</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the percentage of voting power is calculated by dividing the voting power beneficially owned by such person or group by the voting power of all of Ordinary Shares as a single class. In respect of matters requiring a shareholder vote, each Class A Ordinary Shares will be entitled to one vote and each Class V Ordinary Share will be entitled to ten (10) votes. Each Class V Ordinary Share shall automatically convert into one (1) Class A Ordinary Share if transferred from a Founder Entity to a non-Founder Entity, except under certain circumstances.</w:t>
            </w:r>
          </w:p>
        </w:tc>
      </w:tr>
    </w:tbl>
    <w:tbl>
      <w:tblPr>
        <w:tblW w:w="6602" w:type="dxa"/>
        <w:jc w:val="left"/>
        <w:tblInd w:w="0" w:type="dxa"/>
        <w:tblCellMar>
          <w:top w:w="0" w:type="dxa"/>
          <w:left w:w="0" w:type="dxa"/>
          <w:bottom w:w="0" w:type="dxa"/>
          <w:right w:w="0" w:type="dxa"/>
        </w:tblCellMar>
      </w:tblPr>
      <w:tblGrid>
        <w:gridCol w:w="346"/>
        <w:gridCol w:w="625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62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V Ordinary Shares held through Victory Courage Limited.</w:t>
            </w:r>
          </w:p>
        </w:tc>
      </w:tr>
    </w:tbl>
    <w:tbl>
      <w:tblPr>
        <w:tblW w:w="7067" w:type="dxa"/>
        <w:jc w:val="left"/>
        <w:tblInd w:w="0" w:type="dxa"/>
        <w:tblCellMar>
          <w:top w:w="0" w:type="dxa"/>
          <w:left w:w="0" w:type="dxa"/>
          <w:bottom w:w="0" w:type="dxa"/>
          <w:right w:w="0" w:type="dxa"/>
        </w:tblCellMar>
      </w:tblPr>
      <w:tblGrid>
        <w:gridCol w:w="346"/>
        <w:gridCol w:w="672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67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through Shinning Stone Invest Co., Ltd.</w:t>
            </w:r>
          </w:p>
        </w:tc>
      </w:tr>
    </w:tbl>
    <w:tbl>
      <w:tblPr>
        <w:tblW w:w="7442" w:type="dxa"/>
        <w:jc w:val="left"/>
        <w:tblInd w:w="0" w:type="dxa"/>
        <w:tblCellMar>
          <w:top w:w="0" w:type="dxa"/>
          <w:left w:w="0" w:type="dxa"/>
          <w:bottom w:w="0" w:type="dxa"/>
          <w:right w:w="0" w:type="dxa"/>
        </w:tblCellMar>
      </w:tblPr>
      <w:tblGrid>
        <w:gridCol w:w="346"/>
        <w:gridCol w:w="70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70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through Mega Galaxy International Limited.</w:t>
            </w:r>
          </w:p>
        </w:tc>
      </w:tr>
    </w:tbl>
    <w:tbl>
      <w:tblPr>
        <w:tblW w:w="7652" w:type="dxa"/>
        <w:jc w:val="left"/>
        <w:tblInd w:w="0" w:type="dxa"/>
        <w:tblCellMar>
          <w:top w:w="0" w:type="dxa"/>
          <w:left w:w="0" w:type="dxa"/>
          <w:bottom w:w="0" w:type="dxa"/>
          <w:right w:w="0" w:type="dxa"/>
        </w:tblCellMar>
      </w:tblPr>
      <w:tblGrid>
        <w:gridCol w:w="346"/>
        <w:gridCol w:w="730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73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through Golden Navigate Investments Limited.</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April 21, 2023, to our knowledge, approximately 0.81% of our total issued and outstanding Class A Ordinary Shares were held by three record shareholders in the United States, and none of our Class V Ordinary Shares were held by record shareholders in the United States.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significant changes in the percentage ownership held by major shareholders as a result of the Business Combination. Prior to the consummation of the Business Combination, the sole shareholder of our Company was C100 Holding Company, a Cayman Islands exempted company.</w:t>
      </w:r>
    </w:p>
    <w:p>
      <w:pPr>
        <w:pStyle w:val="TextBody"/>
        <w:pBdr/>
        <w:spacing w:before="0" w:after="240"/>
        <w:ind w:left="0" w:right="0" w:hanging="360"/>
        <w:jc w:val="both"/>
        <w:rPr>
          <w:rFonts w:ascii="Times New Roman;Times;serif" w:hAnsi="Times New Roman;Times;serif"/>
          <w:b/>
          <w:sz w:val="20"/>
        </w:rPr>
      </w:pPr>
      <w:bookmarkStart w:id="60" w:name="ITEM7MAJORSHAREHOLDERSANDRELATEDPARTYTRA"/>
      <w:bookmarkStart w:id="61" w:name="_327ebdab_338d_4ae9_b757_6a03f79b82d4"/>
      <w:bookmarkEnd w:id="60"/>
      <w:bookmarkEnd w:id="61"/>
      <w:r>
        <w:rPr>
          <w:rFonts w:ascii="Times New Roman;Times;serif" w:hAnsi="Times New Roman;Times;serif"/>
          <w:b/>
          <w:sz w:val="20"/>
        </w:rPr>
        <w:t>ITEM 7. MAJOR SHAREHOLDERS AND RELATED PARTY TRANSACTIONS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A. Major Shareholders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the section entitled “Item 6. Directors, Senior Management and Employees—E. Share Ownership.”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777" w:type="dxa"/>
        <w:jc w:val="left"/>
        <w:tblInd w:w="0" w:type="dxa"/>
        <w:tblCellMar>
          <w:top w:w="0" w:type="dxa"/>
          <w:left w:w="0" w:type="dxa"/>
          <w:bottom w:w="0" w:type="dxa"/>
          <w:right w:w="0" w:type="dxa"/>
        </w:tblCellMar>
      </w:tblPr>
      <w:tblGrid>
        <w:gridCol w:w="301"/>
        <w:gridCol w:w="247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24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the section entitled “Item 6. Directors, Senior Management and Employees—B. Compensation.”</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Share Incentive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the section entitled “Item 6. Directors, Senior Management and Employees—B.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Related Party Transactions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Revenue generated from Bitmain and BTC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Before the completion date of their respective separations with Bitdeer, Bitdeer generated revenue from Bitmain and BTC from Bitdeer’s normal course of business. Revenue generated from Bitmain and BTC was approximately US$88.1 million, US$73.5 million and nil for the years ended December 31, 2020, 2021 and 2022, respectively. The associated trade receivables as of December 31, 2020, 2021 and 2022, respectively, was approximately US$1.6 million, nil and nil.</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Loans to and borrowings from Bitmain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Bitdeer provided loans to and received borrowings from Bitmain in the year ended December 31, 2020 when Bitdeer operated as part of Bitmain. As of December 31, 2020, 2021 and 2022, the balance of loans receivable from Bitmain was approximately US$167.0 million, nil and nil, and the borrowings repayable to Bitmain was approximately US$24.8 million, nil and nil, respectively.</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Other related party balances associated with Bitmain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receivables from and other payables to Bitmain represent primarily the amount due from or due to Bitmain arising from Bitmain’s business historically recorded and remained on the books of Bitdeer. As of December 31, 2020, 2021 and 2022, the balance of other receivables from Bitmain was approximately US$441.1 million, nil and nil, and other payables to Bitmain was approximately US$638.2 million, nil and nil, respectively.</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Cryptocurrency services provided by Matrixport Group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Matrix Finance and Technologies Holding Group and its subsidiaries (“Matrixport Group”) are entities over which Bitdeer’s controlling person has significant influence, as Mr. Jihan Wu, Bitdeer’s founder and sole director, is the co-founder and chairman of the board of directors of Matrixport Group. During the years ended December 31, 2020, 2021 and 2022, substantially all of Bitdeer’s cryptocurrencies were held in custody by Matrixport Group and Bitdeer’s disposal of cryptocurrencies, at spot price on the date of disposal, was primarily to Matrixport Group. The service fees charged by Martixport Group for the year ended December 31, 2020 were immaterial, the service fees charged for the year ended December 31, 2021 and 2022 were approximately US$0.3 million and US$0.4 million, respectively.</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Other transactions with Matrixport Group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Bitdeer provided loans to Matrixport Group which are non-interest bearing and due on demand. As of December 31, 2020, 2021 and 2022, the loans receivable from Matrixport Group was approximately US$1.3 million, US$1.1 million and US$0.3 million,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2021, Bitdeer signed a loan agreement with Matrixport Group, pursuant to which Bitdeer agreed to grant a revolving line of credit with a maximum amount of US$20 million. Charged with an annual interest of 12.5% by Bitdeer, each tranche of credit utilized shall be repaid within 60 days. The credit line has expired, and the loan has been fully repaid in June 2021. Bitdeer received an interest of approximately US$0.8 million associated with the loan.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2022, Bitdeer signed an agreement with Matrixport Group to subscribe a limited partner interest in a limited partnership set up by the Matrixport Group and the capital commitment is amounting to US$20 million. We do not have control over the limited partnership. As of December 31, 2022, the capital contribution made by us to the limited partnership is US$17 million. We recorded approximately US$952,000 loss on change in fair value of financial assets at fair value through profit or loss for the year ended December 31,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2021, Bitdeer signed a loan agreement with Matrixport Group, pursuant to which Bitdeer agreed to grant a loan of 30 million USDC. The loan bears an annual interest of 8.25% and was due in December 2021. The loan has been fully repaid in December 2021 and Bitdeer received an interest of approximately US$0.7 million associated with the loan.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2021, Bitdeer purchased 30 million USDT with USD and purchased from Matrixport Group a non-principal-guaranteed wealth management product in the amount of 30 million USDT. The wealth management product, representing Bitdeer’s units of interest in the underlying digital assets trading account, does not have a pre-determined term and is redeemable by Bitdeer on certain days of each month. Bitdeer redeemed the product on December 28, 2021, earned an investment income of approximately US$0.7 million, and realized an annual percentage yield of around 13%.</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2022, Bitdeer lent loans in a total amount of approximately US$150.0 million to Matrixport Group and received approximately US$1.5 million interest income. Bitdeer also purchased wealth management products in a total amount of approximately US$150.0 million from Matrixport Group and received approximately US$0.3 million in return. Both the loans and the wealth management products were fully collected and redeemed as of December 31,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annual report, we do not have any outstanding cryptocurrency lending to Matrixport Group or any outstanding wealth management product purchased from Matrixport Group or otherwise. All lending or wealth management products previously purchased from Matrixport Group had been fully collected or redeemed by the end of December 2022.</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Related Person Transaction Policy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adopted a related person transaction policy that sets forth the policies procedures for the identification, review, and approval or ratification of related person transactions. Related person transaction is any transaction involving any “related person”, as defined in the policy, and the Company or its subsidiaries. The policy sets forth policies and procedures designed to minimize potential conflicts of interest arising from any dealings it may have with its affiliates and provides appropriate procedures for the disclosure of any real or potential conflicts of interest that may exist from time to time. Specifically, the audit committee is responsible for keeping and updating a list of related persons and the principals of different departments are responsible for identifying and monitoring related party transactions. The policy details the authority of the board of directors and shareholders to review and approve different related party transactions. For any related person transaction with a transactional value no less than US$5 million and accounting for more than 1% of the total audited assets or market value of the most recent audited period, the same committee shall review and submit a written report to the board of directors for review and the transaction shall be approved in shareholding meetings. Directors are required to disclose interests in the related party transaction and only disinterested directors can vote for a related person transaction in a board meeting. The price terms of all related party transactions shall be fair, taking into account prices in the comparable independent third-party market, price terms of non-related party transactions, and relevant cost and revenue. In addition, no loan shall be made to the Company’s directors, officers or supervisors directly or indirectly.</w:t>
      </w:r>
    </w:p>
    <w:tbl>
      <w:tblPr>
        <w:tblW w:w="3167" w:type="dxa"/>
        <w:jc w:val="left"/>
        <w:tblInd w:w="0" w:type="dxa"/>
        <w:tblCellMar>
          <w:top w:w="0" w:type="dxa"/>
          <w:left w:w="0" w:type="dxa"/>
          <w:bottom w:w="0" w:type="dxa"/>
          <w:right w:w="0" w:type="dxa"/>
        </w:tblCellMar>
      </w:tblPr>
      <w:tblGrid>
        <w:gridCol w:w="301"/>
        <w:gridCol w:w="286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286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Interests of Experts and Counsel</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bookmarkStart w:id="62" w:name="ITEM8FINANCIALINFORMATION_621992"/>
      <w:bookmarkStart w:id="63" w:name="_58193476_876e_4fb3_a47b_4bf5ffba901a"/>
      <w:bookmarkEnd w:id="62"/>
      <w:bookmarkEnd w:id="63"/>
      <w:r>
        <w:rPr>
          <w:rFonts w:ascii="Times New Roman;Times;serif" w:hAnsi="Times New Roman;Times;serif"/>
          <w:b/>
          <w:sz w:val="20"/>
        </w:rPr>
        <w:t>ITEM 8. FINANCIAL INFORMATION</w:t>
      </w:r>
    </w:p>
    <w:tbl>
      <w:tblPr>
        <w:tblW w:w="5357" w:type="dxa"/>
        <w:jc w:val="left"/>
        <w:tblInd w:w="0" w:type="dxa"/>
        <w:tblCellMar>
          <w:top w:w="0" w:type="dxa"/>
          <w:left w:w="0" w:type="dxa"/>
          <w:bottom w:w="0" w:type="dxa"/>
          <w:right w:w="0" w:type="dxa"/>
        </w:tblCellMar>
      </w:tblPr>
      <w:tblGrid>
        <w:gridCol w:w="301"/>
        <w:gridCol w:w="505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505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Consolidated Statements and Other Financial Information</w:t>
            </w:r>
          </w:p>
        </w:tc>
      </w:tr>
    </w:tbl>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Consolidated financial statements have been filed as part of this annual report. See the section entitled “Item 18. Financial Statements.”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Legal Proceedings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not a party to any material legal or administrative proceedings. We have been, and may from time to time in the future, be subject to various legal and administrative proceedings arising in the ordinary course of our business. Such claims or legal actions, even if without merit, could result in the expenditure of significant financial and management resources and potentially result in civil liability for damages.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tbl>
      <w:tblPr>
        <w:tblW w:w="2132" w:type="dxa"/>
        <w:jc w:val="left"/>
        <w:tblInd w:w="0" w:type="dxa"/>
        <w:tblCellMar>
          <w:top w:w="0" w:type="dxa"/>
          <w:left w:w="0" w:type="dxa"/>
          <w:bottom w:w="0" w:type="dxa"/>
          <w:right w:w="0" w:type="dxa"/>
        </w:tblCellMar>
      </w:tblPr>
      <w:tblGrid>
        <w:gridCol w:w="301"/>
        <w:gridCol w:w="183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8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Significant Changes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pBdr/>
        <w:spacing w:before="0" w:after="240"/>
        <w:ind w:left="0" w:right="0" w:hanging="360"/>
        <w:jc w:val="both"/>
        <w:rPr>
          <w:rFonts w:ascii="Times New Roman;Times;serif" w:hAnsi="Times New Roman;Times;serif"/>
          <w:b/>
          <w:sz w:val="20"/>
        </w:rPr>
      </w:pPr>
      <w:bookmarkStart w:id="64" w:name="ITEM9THEOFFERANDLISTING_719590"/>
      <w:bookmarkStart w:id="65" w:name="_d8bdeb2c_f722_44f2_b2b9_dbad7f0e487b"/>
      <w:bookmarkEnd w:id="64"/>
      <w:bookmarkEnd w:id="65"/>
      <w:r>
        <w:rPr>
          <w:rFonts w:ascii="Times New Roman;Times;serif" w:hAnsi="Times New Roman;Times;serif"/>
          <w:b/>
          <w:sz w:val="20"/>
        </w:rPr>
        <w:t>ITEM 9. THE OFFER AND LISTING</w:t>
      </w:r>
    </w:p>
    <w:tbl>
      <w:tblPr>
        <w:tblW w:w="2537" w:type="dxa"/>
        <w:jc w:val="left"/>
        <w:tblInd w:w="0" w:type="dxa"/>
        <w:tblCellMar>
          <w:top w:w="0" w:type="dxa"/>
          <w:left w:w="0" w:type="dxa"/>
          <w:bottom w:w="0" w:type="dxa"/>
          <w:right w:w="0" w:type="dxa"/>
        </w:tblCellMar>
      </w:tblPr>
      <w:tblGrid>
        <w:gridCol w:w="301"/>
        <w:gridCol w:w="223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223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Offer and Listing Details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Class A Ordinary Shares are listed on Nasdaq under the symbol “BTDR.” Holders of Class A Ordinary Shares should obtain current market quotations for their securities.</w:t>
      </w:r>
    </w:p>
    <w:tbl>
      <w:tblPr>
        <w:tblW w:w="2117" w:type="dxa"/>
        <w:jc w:val="left"/>
        <w:tblInd w:w="0" w:type="dxa"/>
        <w:tblCellMar>
          <w:top w:w="0" w:type="dxa"/>
          <w:left w:w="0" w:type="dxa"/>
          <w:bottom w:w="0" w:type="dxa"/>
          <w:right w:w="0" w:type="dxa"/>
        </w:tblCellMar>
      </w:tblPr>
      <w:tblGrid>
        <w:gridCol w:w="301"/>
        <w:gridCol w:w="181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8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Plan of Distribution</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1157" w:type="dxa"/>
        <w:jc w:val="left"/>
        <w:tblInd w:w="0" w:type="dxa"/>
        <w:tblCellMar>
          <w:top w:w="0" w:type="dxa"/>
          <w:left w:w="0" w:type="dxa"/>
          <w:bottom w:w="0" w:type="dxa"/>
          <w:right w:w="0" w:type="dxa"/>
        </w:tblCellMar>
      </w:tblPr>
      <w:tblGrid>
        <w:gridCol w:w="301"/>
        <w:gridCol w:w="85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85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Markets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Class A Ordinary Shares are listed on Nasdaq under the symbol “BTDR.”</w:t>
      </w:r>
    </w:p>
    <w:tbl>
      <w:tblPr>
        <w:tblW w:w="2207" w:type="dxa"/>
        <w:jc w:val="left"/>
        <w:tblInd w:w="0" w:type="dxa"/>
        <w:tblCellMar>
          <w:top w:w="0" w:type="dxa"/>
          <w:left w:w="0" w:type="dxa"/>
          <w:bottom w:w="0" w:type="dxa"/>
          <w:right w:w="0" w:type="dxa"/>
        </w:tblCellMar>
      </w:tblPr>
      <w:tblGrid>
        <w:gridCol w:w="301"/>
        <w:gridCol w:w="190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19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Selling Shareholders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1142" w:type="dxa"/>
        <w:jc w:val="left"/>
        <w:tblInd w:w="0" w:type="dxa"/>
        <w:tblCellMar>
          <w:top w:w="0" w:type="dxa"/>
          <w:left w:w="0" w:type="dxa"/>
          <w:bottom w:w="0" w:type="dxa"/>
          <w:right w:w="0" w:type="dxa"/>
        </w:tblCellMar>
      </w:tblPr>
      <w:tblGrid>
        <w:gridCol w:w="301"/>
        <w:gridCol w:w="84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w:t>
            </w:r>
          </w:p>
        </w:tc>
        <w:tc>
          <w:tcPr>
            <w:tcW w:w="84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Dilution</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192" w:type="dxa"/>
        <w:jc w:val="left"/>
        <w:tblInd w:w="0" w:type="dxa"/>
        <w:tblCellMar>
          <w:top w:w="0" w:type="dxa"/>
          <w:left w:w="0" w:type="dxa"/>
          <w:bottom w:w="0" w:type="dxa"/>
          <w:right w:w="0" w:type="dxa"/>
        </w:tblCellMar>
      </w:tblPr>
      <w:tblGrid>
        <w:gridCol w:w="286"/>
        <w:gridCol w:w="1906"/>
      </w:tblGrid>
      <w:tr>
        <w:trPr/>
        <w:tc>
          <w:tcPr>
            <w:tcW w:w="28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F.</w:t>
            </w:r>
          </w:p>
        </w:tc>
        <w:tc>
          <w:tcPr>
            <w:tcW w:w="190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Expenses of the Issue</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pBdr/>
        <w:spacing w:before="0" w:after="240"/>
        <w:ind w:left="0" w:right="0" w:hanging="360"/>
        <w:jc w:val="both"/>
        <w:rPr>
          <w:rFonts w:ascii="Times New Roman;Times;serif" w:hAnsi="Times New Roman;Times;serif"/>
          <w:b/>
          <w:sz w:val="20"/>
        </w:rPr>
      </w:pPr>
      <w:bookmarkStart w:id="66" w:name="ITEM10ADDITIONALINFORMATION_409478"/>
      <w:bookmarkStart w:id="67" w:name="_edfdf4af_7c7c_454b_87d8_f5d3148653cc"/>
      <w:bookmarkEnd w:id="66"/>
      <w:bookmarkEnd w:id="67"/>
      <w:r>
        <w:rPr>
          <w:rFonts w:ascii="Times New Roman;Times;serif" w:hAnsi="Times New Roman;Times;serif"/>
          <w:b/>
          <w:sz w:val="20"/>
        </w:rPr>
        <w:t>ITEM 10. ADDITIONAL INFORMATION</w:t>
      </w:r>
    </w:p>
    <w:tbl>
      <w:tblPr>
        <w:tblW w:w="1622" w:type="dxa"/>
        <w:jc w:val="left"/>
        <w:tblInd w:w="0" w:type="dxa"/>
        <w:tblCellMar>
          <w:top w:w="0" w:type="dxa"/>
          <w:left w:w="0" w:type="dxa"/>
          <w:bottom w:w="0" w:type="dxa"/>
          <w:right w:w="0" w:type="dxa"/>
        </w:tblCellMar>
      </w:tblPr>
      <w:tblGrid>
        <w:gridCol w:w="301"/>
        <w:gridCol w:w="132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132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Share Capital</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annual report, subsequent to the closing of the Business Combination, there were 62,888,683 Class A Ordinary Shares and 48,399,922 Class V Ordinary Shares that were outstanding and issued.</w:t>
      </w:r>
    </w:p>
    <w:tbl>
      <w:tblPr>
        <w:tblW w:w="3962" w:type="dxa"/>
        <w:jc w:val="left"/>
        <w:tblInd w:w="0" w:type="dxa"/>
        <w:tblCellMar>
          <w:top w:w="0" w:type="dxa"/>
          <w:left w:w="0" w:type="dxa"/>
          <w:bottom w:w="0" w:type="dxa"/>
          <w:right w:w="0" w:type="dxa"/>
        </w:tblCellMar>
      </w:tblPr>
      <w:tblGrid>
        <w:gridCol w:w="301"/>
        <w:gridCol w:w="366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366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Memorandum and Articles of Association</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are summaries of material provisions of our current memorandum and articles of association (“Memorandum and Articles of Association”), insofar as they relate to the material terms of our Ordinary Shares. The summary is not complete and should be read together with the Memorandum and Articles of Association, a copy of which is set forth in Exhibit 1.1 to this annual report.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authorized share capital consists of 500,000,000,000 shares of a par value of US$0.0000001 each, consisting of 499,600,000,000 Class A Ordinary Shares, 200,000,000 Class V Ordinary Shares and 200,000,000 undesignated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Holders of Class A Ordinary Shares and Class V Ordinary Shares will generally have the same rights except for voting and conversion rights. We will maintain a register of its shareholders. Every shareholder whose name is entered in such register may, without payment and upon written request, request a share certificate within two calendar months after allotment or lodgement of transfer.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Mr. Jihan Wu controls the voting power of all of the outstanding Class V Ordinary Shares. Upon any transfer of Class V Ordinary Shares by a holder thereof to any person which is not a Founder Entity, those shares will automatically convert into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Dividends.  The holders of Ordinary Shares are entitled to such dividends as may be declared by our board of directors. In addition, our shareholders may declare dividends by ordinary resolution, but no dividend may exceed the amount recommended by our directors. The Memorandum and Articles of Association provide that our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paid.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Voting Rights.   Holders of Ordinary Shares have the right to receive notice of, attend, speak and vote at our general meetings. Holders of Ordinary Shares shall, at all times, vote together as one class on all matters submitted to a vote by the members at any such general meeting, provided that Class A Ordinary Shares and Class V Ordinary Shares shall each vote as a separate class on any proposed variation of rights affecting Class A Ordinary Shares only or Class V Ordinary Shares only (as the case may be). On all matters subject to a vote at our general meetings, (1) on a show of hands and/or (2) on a poll, each of our shareholders shall be entitled to one vote for each Class A Ordinary Share and ten (10) votes for each Class V Ordinary Share of which such shareholder is the holder. Voting at any shareholders’ meeting is by show of hands unless a poll is demanded (before or on the declaration of the result of the show of hands). A poll may be demanded by the chairman of such meeting or any of our shareholders holding not less than 10% of the votes attaching to the total ordinary shares which are present in person or by proxy at the meeting.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of the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 Under the Companies Act, a special resolution will be required in order for us to effect certain important matters as stipulated in the Companies Act, such as a change of name or making changes to the Memorandum and Articles of Association. Holders of the Ordinary Shares may, among other things, divide or combine their shares by ordinary resolution.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Meetings of Shareholders.   As a Cayman Islands exempted company, we are not obliged by the Companies Act to call shareholders’ annual general meetings. The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Shareholders’ general meetings may be convened by the chairman of our board of directors or by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at least one shareholder present or by proxy, who alone or together hold not less than 50% of all votes attaching to all of our shares in issue and entitled to vote.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Act provides our shareholders with only limited rights to requisition a general meeting, and does not provide shareholders with any right to put any proposal before a general meeting. However, these rights may be provided in a company’s articles of association. The Memorandum and Articles of Association provide that upon the requisition of any one or more of our shareholders who together hold shares which carry in aggregate not less than one-third of the total number of votes attaching to all issued and outstanding shares of our company entitled to vote at general meetings, our board of directors will be required to convene an extraordinary general meeting and put the resolutions so requisitioned to a vote at such meeting. However, the Memorandum and Articles of Association do not provide our shareholders with any right to put any proposals before annual general meetings or extraordinary general meetings not called by such shareholders.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441" w:type="dxa"/>
        <w:jc w:val="left"/>
        <w:tblInd w:w="0" w:type="dxa"/>
        <w:tblCellMar>
          <w:top w:w="0" w:type="dxa"/>
          <w:left w:w="0" w:type="dxa"/>
          <w:bottom w:w="0" w:type="dxa"/>
          <w:right w:w="0" w:type="dxa"/>
        </w:tblCellMar>
      </w:tblPr>
      <w:tblGrid>
        <w:gridCol w:w="124"/>
        <w:gridCol w:w="181"/>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1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tbl>
      <w:tblPr>
        <w:tblW w:w="5106" w:type="dxa"/>
        <w:jc w:val="left"/>
        <w:tblInd w:w="0" w:type="dxa"/>
        <w:tblCellMar>
          <w:top w:w="0" w:type="dxa"/>
          <w:left w:w="0" w:type="dxa"/>
          <w:bottom w:w="0" w:type="dxa"/>
          <w:right w:w="0" w:type="dxa"/>
        </w:tblCellMar>
      </w:tblPr>
      <w:tblGrid>
        <w:gridCol w:w="124"/>
        <w:gridCol w:w="181"/>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8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Liquidation.   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Redemption, Repurchase and Surrender of Shares.  We may issue shares on terms that such shares are subject to redemption, at our option or at the option of the holders of these shares, on such terms and in such manner as may be determined by our board of directors and we may also repurchase any of our shares on such terms and in such manner as have been approved by our board of directors or by an ordinary resolution of our shareholders.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its debts as they fall due in the ordinary course of business. In addition, we may accept the surrender of any fully paid share for no consideration.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Variations of Rights of Shares.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Issuance of Additional Shares.   The Memorandum and Articles of Association authorizes our board of directors to issue additional ordinary shares from time to time as our board of directors shall determine, to the extent of available authorized but unissued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Memorandum and Articles of Association also authorizes our board of directors to establish from time to time one or more series of preferred shares and to determine, with respect to any series of preferred shares, the terms and rights of that series, including:</w:t>
      </w:r>
    </w:p>
    <w:tbl>
      <w:tblPr>
        <w:tblW w:w="2781" w:type="dxa"/>
        <w:jc w:val="left"/>
        <w:tblInd w:w="0" w:type="dxa"/>
        <w:tblCellMar>
          <w:top w:w="0" w:type="dxa"/>
          <w:left w:w="0" w:type="dxa"/>
          <w:bottom w:w="0" w:type="dxa"/>
          <w:right w:w="0" w:type="dxa"/>
        </w:tblCellMar>
      </w:tblPr>
      <w:tblGrid>
        <w:gridCol w:w="124"/>
        <w:gridCol w:w="181"/>
        <w:gridCol w:w="24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4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designation of the series;</w:t>
            </w:r>
          </w:p>
        </w:tc>
      </w:tr>
    </w:tbl>
    <w:tbl>
      <w:tblPr>
        <w:tblW w:w="3186" w:type="dxa"/>
        <w:jc w:val="left"/>
        <w:tblInd w:w="0" w:type="dxa"/>
        <w:tblCellMar>
          <w:top w:w="0" w:type="dxa"/>
          <w:left w:w="0" w:type="dxa"/>
          <w:bottom w:w="0" w:type="dxa"/>
          <w:right w:w="0" w:type="dxa"/>
        </w:tblCellMar>
      </w:tblPr>
      <w:tblGrid>
        <w:gridCol w:w="124"/>
        <w:gridCol w:w="181"/>
        <w:gridCol w:w="28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88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number of shares of the series;</w:t>
            </w:r>
          </w:p>
        </w:tc>
      </w:tr>
    </w:tbl>
    <w:tbl>
      <w:tblPr>
        <w:tblW w:w="6036" w:type="dxa"/>
        <w:jc w:val="left"/>
        <w:tblInd w:w="0" w:type="dxa"/>
        <w:tblCellMar>
          <w:top w:w="0" w:type="dxa"/>
          <w:left w:w="0" w:type="dxa"/>
          <w:bottom w:w="0" w:type="dxa"/>
          <w:right w:w="0" w:type="dxa"/>
        </w:tblCellMar>
      </w:tblPr>
      <w:tblGrid>
        <w:gridCol w:w="124"/>
        <w:gridCol w:w="181"/>
        <w:gridCol w:w="57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7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dividend rights, dividend rights, conversion rights, voting rights;</w:t>
            </w:r>
          </w:p>
        </w:tc>
      </w:tr>
    </w:tbl>
    <w:tbl>
      <w:tblPr>
        <w:tblW w:w="5901" w:type="dxa"/>
        <w:jc w:val="left"/>
        <w:tblInd w:w="0" w:type="dxa"/>
        <w:tblCellMar>
          <w:top w:w="0" w:type="dxa"/>
          <w:left w:w="0" w:type="dxa"/>
          <w:bottom w:w="0" w:type="dxa"/>
          <w:right w:w="0" w:type="dxa"/>
        </w:tblCellMar>
      </w:tblPr>
      <w:tblGrid>
        <w:gridCol w:w="124"/>
        <w:gridCol w:w="181"/>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5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rights and terms of redemption and liquidation preferences; and</w:t>
            </w:r>
          </w:p>
        </w:tc>
      </w:tr>
    </w:tbl>
    <w:tbl>
      <w:tblPr>
        <w:tblW w:w="7746" w:type="dxa"/>
        <w:jc w:val="left"/>
        <w:tblInd w:w="0" w:type="dxa"/>
        <w:tblCellMar>
          <w:top w:w="0" w:type="dxa"/>
          <w:left w:w="0" w:type="dxa"/>
          <w:bottom w:w="0" w:type="dxa"/>
          <w:right w:w="0" w:type="dxa"/>
        </w:tblCellMar>
      </w:tblPr>
      <w:tblGrid>
        <w:gridCol w:w="124"/>
        <w:gridCol w:w="181"/>
        <w:gridCol w:w="74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4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any other powers, preferences and relative, participating, optional and other special rights.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 Issuance of these shares may dilute the voting power of holders of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Inspection of Books and Records.  Holders of our Ordinary Shares will have no general right under Cayman Islands law to inspect or obtain copies of our corporate records (other than our memorandum and articles of association, special resolutions, and our register of mortgages and charges). However, we will provide our shareholders with annual audited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Anti-Takeover Provisions.  Some provisions of the Memorandum and Articles of Association s may discourage, delay or prevent a change of control of our company or management that our shareholders may consider favorable, including provisions that:</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tbl>
      <w:tblPr>
        <w:tblW w:w="7971" w:type="dxa"/>
        <w:jc w:val="left"/>
        <w:tblInd w:w="0" w:type="dxa"/>
        <w:tblCellMar>
          <w:top w:w="0" w:type="dxa"/>
          <w:left w:w="0" w:type="dxa"/>
          <w:bottom w:w="0" w:type="dxa"/>
          <w:right w:w="0" w:type="dxa"/>
        </w:tblCellMar>
      </w:tblPr>
      <w:tblGrid>
        <w:gridCol w:w="124"/>
        <w:gridCol w:w="181"/>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6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Exempted Company.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01" w:type="dxa"/>
        <w:jc w:val="left"/>
        <w:tblInd w:w="0" w:type="dxa"/>
        <w:tblCellMar>
          <w:top w:w="0" w:type="dxa"/>
          <w:left w:w="0" w:type="dxa"/>
          <w:bottom w:w="0" w:type="dxa"/>
          <w:right w:w="0" w:type="dxa"/>
        </w:tblCellMar>
      </w:tblPr>
      <w:tblGrid>
        <w:gridCol w:w="124"/>
        <w:gridCol w:w="181"/>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3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tbl>
      <w:tblPr>
        <w:tblW w:w="5376" w:type="dxa"/>
        <w:jc w:val="left"/>
        <w:tblInd w:w="0" w:type="dxa"/>
        <w:tblCellMar>
          <w:top w:w="0" w:type="dxa"/>
          <w:left w:w="0" w:type="dxa"/>
          <w:bottom w:w="0" w:type="dxa"/>
          <w:right w:w="0" w:type="dxa"/>
        </w:tblCellMar>
      </w:tblPr>
      <w:tblGrid>
        <w:gridCol w:w="124"/>
        <w:gridCol w:w="181"/>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0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tbl>
      <w:tblPr>
        <w:tblW w:w="4461" w:type="dxa"/>
        <w:jc w:val="left"/>
        <w:tblInd w:w="0" w:type="dxa"/>
        <w:tblCellMar>
          <w:top w:w="0" w:type="dxa"/>
          <w:left w:w="0" w:type="dxa"/>
          <w:bottom w:w="0" w:type="dxa"/>
          <w:right w:w="0" w:type="dxa"/>
        </w:tblCellMar>
      </w:tblPr>
      <w:tblGrid>
        <w:gridCol w:w="124"/>
        <w:gridCol w:w="181"/>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1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tbl>
      <w:tblPr>
        <w:tblW w:w="5721" w:type="dxa"/>
        <w:jc w:val="left"/>
        <w:tblInd w:w="0" w:type="dxa"/>
        <w:tblCellMar>
          <w:top w:w="0" w:type="dxa"/>
          <w:left w:w="0" w:type="dxa"/>
          <w:bottom w:w="0" w:type="dxa"/>
          <w:right w:w="0" w:type="dxa"/>
        </w:tblCellMar>
      </w:tblPr>
      <w:tblGrid>
        <w:gridCol w:w="124"/>
        <w:gridCol w:w="181"/>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may issue negotiable or bearer shares or shares with no par value;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tbl>
      <w:tblPr>
        <w:tblW w:w="8766" w:type="dxa"/>
        <w:jc w:val="left"/>
        <w:tblInd w:w="0" w:type="dxa"/>
        <w:tblCellMar>
          <w:top w:w="0" w:type="dxa"/>
          <w:left w:w="0" w:type="dxa"/>
          <w:bottom w:w="0" w:type="dxa"/>
          <w:right w:w="0" w:type="dxa"/>
        </w:tblCellMar>
      </w:tblPr>
      <w:tblGrid>
        <w:gridCol w:w="124"/>
        <w:gridCol w:w="181"/>
        <w:gridCol w:w="84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4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tbl>
      <w:tblPr>
        <w:tblW w:w="4356" w:type="dxa"/>
        <w:jc w:val="left"/>
        <w:tblInd w:w="0" w:type="dxa"/>
        <w:tblCellMar>
          <w:top w:w="0" w:type="dxa"/>
          <w:left w:w="0" w:type="dxa"/>
          <w:bottom w:w="0" w:type="dxa"/>
          <w:right w:w="0" w:type="dxa"/>
        </w:tblCellMar>
      </w:tblPr>
      <w:tblGrid>
        <w:gridCol w:w="124"/>
        <w:gridCol w:w="181"/>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0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may register as a limited duration company; and</w:t>
            </w:r>
          </w:p>
        </w:tc>
      </w:tr>
    </w:tbl>
    <w:tbl>
      <w:tblPr>
        <w:tblW w:w="4311" w:type="dxa"/>
        <w:jc w:val="left"/>
        <w:tblInd w:w="0" w:type="dxa"/>
        <w:tblCellMar>
          <w:top w:w="0" w:type="dxa"/>
          <w:left w:w="0" w:type="dxa"/>
          <w:bottom w:w="0" w:type="dxa"/>
          <w:right w:w="0" w:type="dxa"/>
        </w:tblCellMar>
      </w:tblPr>
      <w:tblGrid>
        <w:gridCol w:w="124"/>
        <w:gridCol w:w="181"/>
        <w:gridCol w:w="40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0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spacing w:before="0" w:after="240"/>
        <w:ind w:left="0" w:right="0" w:firstLine="36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tbl>
      <w:tblPr>
        <w:tblW w:w="2072" w:type="dxa"/>
        <w:jc w:val="left"/>
        <w:tblInd w:w="0" w:type="dxa"/>
        <w:tblCellMar>
          <w:top w:w="0" w:type="dxa"/>
          <w:left w:w="0" w:type="dxa"/>
          <w:bottom w:w="0" w:type="dxa"/>
          <w:right w:w="0" w:type="dxa"/>
        </w:tblCellMar>
      </w:tblPr>
      <w:tblGrid>
        <w:gridCol w:w="301"/>
        <w:gridCol w:w="177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17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Material Contracts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in the ordinary course of business and other than those described in “Explanatory Note,” “Item 4. Information on the Company,” “Item 7. Major Shareholders and Related Party Transactions—B. Related Party Transactions” or elsewhere in this annual report, including the below, we have not entered into any material contract during the two years immediately preceding the date of this annual report.</w:t>
      </w:r>
    </w:p>
    <w:tbl>
      <w:tblPr>
        <w:tblW w:w="2072" w:type="dxa"/>
        <w:jc w:val="left"/>
        <w:tblInd w:w="0" w:type="dxa"/>
        <w:tblCellMar>
          <w:top w:w="0" w:type="dxa"/>
          <w:left w:w="0" w:type="dxa"/>
          <w:bottom w:w="0" w:type="dxa"/>
          <w:right w:w="0" w:type="dxa"/>
        </w:tblCellMar>
      </w:tblPr>
      <w:tblGrid>
        <w:gridCol w:w="301"/>
        <w:gridCol w:w="177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17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Exchange Controls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no governmental laws, decrees, regulations or other legislation in the Cayman Islands that may affect the import or export of capital, including the availability of cash and cash equivalents for use by the Company, or that may affect the remittance of dividends, interest, or other payments by the Company to non-resident holders of its ordinary shares, assuming the absence of applicable United Nations sanctions as implemented or otherwise adopted under the laws of the Cayman Islands. There is no limitation imposed by laws of Cayman Islands or in the Company’s articles of association on the right of non-residents to hold or vote shares.”</w:t>
      </w:r>
    </w:p>
    <w:tbl>
      <w:tblPr>
        <w:tblW w:w="1232" w:type="dxa"/>
        <w:jc w:val="left"/>
        <w:tblInd w:w="0" w:type="dxa"/>
        <w:tblCellMar>
          <w:top w:w="0" w:type="dxa"/>
          <w:left w:w="0" w:type="dxa"/>
          <w:bottom w:w="0" w:type="dxa"/>
          <w:right w:w="0" w:type="dxa"/>
        </w:tblCellMar>
      </w:tblPr>
      <w:tblGrid>
        <w:gridCol w:w="301"/>
        <w:gridCol w:w="93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E.</w:t>
            </w:r>
          </w:p>
        </w:tc>
        <w:tc>
          <w:tcPr>
            <w:tcW w:w="9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Taxation</w:t>
            </w:r>
          </w:p>
        </w:tc>
      </w:tr>
    </w:tbl>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Material U.S. Federal Income Tax Considerations for U.S. 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tbl>
      <w:tblPr>
        <w:tblW w:w="3411" w:type="dxa"/>
        <w:jc w:val="left"/>
        <w:tblInd w:w="0" w:type="dxa"/>
        <w:tblCellMar>
          <w:top w:w="0" w:type="dxa"/>
          <w:left w:w="0" w:type="dxa"/>
          <w:bottom w:w="0" w:type="dxa"/>
          <w:right w:w="0" w:type="dxa"/>
        </w:tblCellMar>
      </w:tblPr>
      <w:tblGrid>
        <w:gridCol w:w="124"/>
        <w:gridCol w:w="181"/>
        <w:gridCol w:w="31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1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banks or other financial institutions;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211" w:type="dxa"/>
        <w:jc w:val="left"/>
        <w:tblInd w:w="0" w:type="dxa"/>
        <w:tblCellMar>
          <w:top w:w="0" w:type="dxa"/>
          <w:left w:w="0" w:type="dxa"/>
          <w:bottom w:w="0" w:type="dxa"/>
          <w:right w:w="0" w:type="dxa"/>
        </w:tblCellMar>
      </w:tblPr>
      <w:tblGrid>
        <w:gridCol w:w="124"/>
        <w:gridCol w:w="181"/>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9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insurance companies;</w:t>
            </w:r>
          </w:p>
        </w:tc>
      </w:tr>
    </w:tbl>
    <w:tbl>
      <w:tblPr>
        <w:tblW w:w="1581" w:type="dxa"/>
        <w:jc w:val="left"/>
        <w:tblInd w:w="0" w:type="dxa"/>
        <w:tblCellMar>
          <w:top w:w="0" w:type="dxa"/>
          <w:left w:w="0" w:type="dxa"/>
          <w:bottom w:w="0" w:type="dxa"/>
          <w:right w:w="0" w:type="dxa"/>
        </w:tblCellMar>
      </w:tblPr>
      <w:tblGrid>
        <w:gridCol w:w="124"/>
        <w:gridCol w:w="181"/>
        <w:gridCol w:w="12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2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mutual funds;</w:t>
            </w:r>
          </w:p>
        </w:tc>
      </w:tr>
    </w:tbl>
    <w:tbl>
      <w:tblPr>
        <w:tblW w:w="2721" w:type="dxa"/>
        <w:jc w:val="left"/>
        <w:tblInd w:w="0" w:type="dxa"/>
        <w:tblCellMar>
          <w:top w:w="0" w:type="dxa"/>
          <w:left w:w="0" w:type="dxa"/>
          <w:bottom w:w="0" w:type="dxa"/>
          <w:right w:w="0" w:type="dxa"/>
        </w:tblCellMar>
      </w:tblPr>
      <w:tblGrid>
        <w:gridCol w:w="124"/>
        <w:gridCol w:w="181"/>
        <w:gridCol w:w="24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4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pension or retirement plans;</w:t>
            </w:r>
          </w:p>
        </w:tc>
      </w:tr>
    </w:tbl>
    <w:tbl>
      <w:tblPr>
        <w:tblW w:w="1686" w:type="dxa"/>
        <w:jc w:val="left"/>
        <w:tblInd w:w="0" w:type="dxa"/>
        <w:tblCellMar>
          <w:top w:w="0" w:type="dxa"/>
          <w:left w:w="0" w:type="dxa"/>
          <w:bottom w:w="0" w:type="dxa"/>
          <w:right w:w="0" w:type="dxa"/>
        </w:tblCellMar>
      </w:tblPr>
      <w:tblGrid>
        <w:gridCol w:w="124"/>
        <w:gridCol w:w="181"/>
        <w:gridCol w:w="13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38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 corporations;</w:t>
            </w:r>
          </w:p>
        </w:tc>
      </w:tr>
    </w:tbl>
    <w:tbl>
      <w:tblPr>
        <w:tblW w:w="3966" w:type="dxa"/>
        <w:jc w:val="left"/>
        <w:tblInd w:w="0" w:type="dxa"/>
        <w:tblCellMar>
          <w:top w:w="0" w:type="dxa"/>
          <w:left w:w="0" w:type="dxa"/>
          <w:bottom w:w="0" w:type="dxa"/>
          <w:right w:w="0" w:type="dxa"/>
        </w:tblCellMar>
      </w:tblPr>
      <w:tblGrid>
        <w:gridCol w:w="124"/>
        <w:gridCol w:w="181"/>
        <w:gridCol w:w="36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6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broker or dealers in securities or currencies;</w:t>
            </w:r>
          </w:p>
        </w:tc>
      </w:tr>
    </w:tbl>
    <w:tbl>
      <w:tblPr>
        <w:tblW w:w="4971" w:type="dxa"/>
        <w:jc w:val="left"/>
        <w:tblInd w:w="0" w:type="dxa"/>
        <w:tblCellMar>
          <w:top w:w="0" w:type="dxa"/>
          <w:left w:w="0" w:type="dxa"/>
          <w:bottom w:w="0" w:type="dxa"/>
          <w:right w:w="0" w:type="dxa"/>
        </w:tblCellMar>
      </w:tblPr>
      <w:tblGrid>
        <w:gridCol w:w="124"/>
        <w:gridCol w:w="181"/>
        <w:gridCol w:w="46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6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traders in securities that elect mark-to-market treatment;</w:t>
            </w:r>
          </w:p>
        </w:tc>
      </w:tr>
    </w:tbl>
    <w:tbl>
      <w:tblPr>
        <w:tblW w:w="3141" w:type="dxa"/>
        <w:jc w:val="left"/>
        <w:tblInd w:w="0" w:type="dxa"/>
        <w:tblCellMar>
          <w:top w:w="0" w:type="dxa"/>
          <w:left w:w="0" w:type="dxa"/>
          <w:bottom w:w="0" w:type="dxa"/>
          <w:right w:w="0" w:type="dxa"/>
        </w:tblCellMar>
      </w:tblPr>
      <w:tblGrid>
        <w:gridCol w:w="124"/>
        <w:gridCol w:w="181"/>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8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regulated investment companies;</w:t>
            </w:r>
          </w:p>
        </w:tc>
      </w:tr>
    </w:tbl>
    <w:tbl>
      <w:tblPr>
        <w:tblW w:w="2751" w:type="dxa"/>
        <w:jc w:val="left"/>
        <w:tblInd w:w="0" w:type="dxa"/>
        <w:tblCellMar>
          <w:top w:w="0" w:type="dxa"/>
          <w:left w:w="0" w:type="dxa"/>
          <w:bottom w:w="0" w:type="dxa"/>
          <w:right w:w="0" w:type="dxa"/>
        </w:tblCellMar>
      </w:tblPr>
      <w:tblGrid>
        <w:gridCol w:w="124"/>
        <w:gridCol w:w="181"/>
        <w:gridCol w:w="24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4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real estate investment trusts;</w:t>
            </w:r>
          </w:p>
        </w:tc>
      </w:tr>
    </w:tbl>
    <w:tbl>
      <w:tblPr>
        <w:tblW w:w="1746" w:type="dxa"/>
        <w:jc w:val="left"/>
        <w:tblInd w:w="0" w:type="dxa"/>
        <w:tblCellMar>
          <w:top w:w="0" w:type="dxa"/>
          <w:left w:w="0" w:type="dxa"/>
          <w:bottom w:w="0" w:type="dxa"/>
          <w:right w:w="0" w:type="dxa"/>
        </w:tblCellMar>
      </w:tblPr>
      <w:tblGrid>
        <w:gridCol w:w="124"/>
        <w:gridCol w:w="181"/>
        <w:gridCol w:w="14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4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trusts or estates;</w:t>
            </w:r>
          </w:p>
        </w:tc>
      </w:tr>
    </w:tbl>
    <w:tbl>
      <w:tblPr>
        <w:tblW w:w="5181" w:type="dxa"/>
        <w:jc w:val="left"/>
        <w:tblInd w:w="0" w:type="dxa"/>
        <w:tblCellMar>
          <w:top w:w="0" w:type="dxa"/>
          <w:left w:w="0" w:type="dxa"/>
          <w:bottom w:w="0" w:type="dxa"/>
          <w:right w:w="0" w:type="dxa"/>
        </w:tblCellMar>
      </w:tblPr>
      <w:tblGrid>
        <w:gridCol w:w="124"/>
        <w:gridCol w:w="181"/>
        <w:gridCol w:w="48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8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tax-exempt organizations (including private foundations);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persons that hold Ordinary Shares as part of a “straddle,” “hedge,” “conversion,” “synthetic security,” “constructive sale,” or other integrated transaction for U.S. federal income tax purposes;</w:t>
            </w:r>
          </w:p>
        </w:tc>
      </w:tr>
    </w:tbl>
    <w:tbl>
      <w:tblPr>
        <w:tblW w:w="5766" w:type="dxa"/>
        <w:jc w:val="left"/>
        <w:tblInd w:w="0" w:type="dxa"/>
        <w:tblCellMar>
          <w:top w:w="0" w:type="dxa"/>
          <w:left w:w="0" w:type="dxa"/>
          <w:bottom w:w="0" w:type="dxa"/>
          <w:right w:w="0" w:type="dxa"/>
        </w:tblCellMar>
      </w:tblPr>
      <w:tblGrid>
        <w:gridCol w:w="124"/>
        <w:gridCol w:w="181"/>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persons that have a functional currency other than the U.S. dollar;</w:t>
            </w:r>
          </w:p>
        </w:tc>
      </w:tr>
    </w:tbl>
    <w:tbl>
      <w:tblPr>
        <w:tblW w:w="6396" w:type="dxa"/>
        <w:jc w:val="left"/>
        <w:tblInd w:w="0" w:type="dxa"/>
        <w:tblCellMar>
          <w:top w:w="0" w:type="dxa"/>
          <w:left w:w="0" w:type="dxa"/>
          <w:bottom w:w="0" w:type="dxa"/>
          <w:right w:w="0" w:type="dxa"/>
        </w:tblCellMar>
      </w:tblPr>
      <w:tblGrid>
        <w:gridCol w:w="124"/>
        <w:gridCol w:w="181"/>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09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certain U.S. expatriates or former long-term residents of the United States;</w:t>
            </w:r>
          </w:p>
        </w:tc>
      </w:tr>
    </w:tbl>
    <w:tbl>
      <w:tblPr>
        <w:tblW w:w="8406" w:type="dxa"/>
        <w:jc w:val="left"/>
        <w:tblInd w:w="0" w:type="dxa"/>
        <w:tblCellMar>
          <w:top w:w="0" w:type="dxa"/>
          <w:left w:w="0" w:type="dxa"/>
          <w:bottom w:w="0" w:type="dxa"/>
          <w:right w:w="0" w:type="dxa"/>
        </w:tblCellMar>
      </w:tblPr>
      <w:tblGrid>
        <w:gridCol w:w="124"/>
        <w:gridCol w:w="181"/>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1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persons owning (directly, indirectly, or constructively) 5% (by vote or value) or more of our stock;</w:t>
            </w:r>
          </w:p>
        </w:tc>
      </w:tr>
    </w:tbl>
    <w:tbl>
      <w:tblPr>
        <w:tblW w:w="10101" w:type="dxa"/>
        <w:jc w:val="left"/>
        <w:tblInd w:w="0" w:type="dxa"/>
        <w:tblCellMar>
          <w:top w:w="0" w:type="dxa"/>
          <w:left w:w="0" w:type="dxa"/>
          <w:bottom w:w="0" w:type="dxa"/>
          <w:right w:w="0" w:type="dxa"/>
        </w:tblCellMar>
      </w:tblPr>
      <w:tblGrid>
        <w:gridCol w:w="124"/>
        <w:gridCol w:w="181"/>
        <w:gridCol w:w="97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7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persons that acquired Ordinary Shares pursuant to an exercise of employee stock options or otherwise as compensation;</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partnerships or other entities or arrangements treated as pass-through entities for U.S. federal income tax purposes and investors in such entities;</w:t>
            </w:r>
          </w:p>
        </w:tc>
      </w:tr>
    </w:tbl>
    <w:tbl>
      <w:tblPr>
        <w:tblW w:w="7296" w:type="dxa"/>
        <w:jc w:val="left"/>
        <w:tblInd w:w="0" w:type="dxa"/>
        <w:tblCellMar>
          <w:top w:w="0" w:type="dxa"/>
          <w:left w:w="0" w:type="dxa"/>
          <w:bottom w:w="0" w:type="dxa"/>
          <w:right w:w="0" w:type="dxa"/>
        </w:tblCellMar>
      </w:tblPr>
      <w:tblGrid>
        <w:gridCol w:w="124"/>
        <w:gridCol w:w="181"/>
        <w:gridCol w:w="699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991" w:type="dxa"/>
            <w:tcBorders/>
            <w:shd w:fill="auto" w:val="clear"/>
            <w:vAlign w:val="center"/>
          </w:tcPr>
          <w:p>
            <w:pPr>
              <w:pStyle w:val="TableContents"/>
              <w:spacing w:before="0" w:after="240"/>
              <w:jc w:val="both"/>
              <w:rPr/>
            </w:pPr>
            <w:r>
              <w:rPr/>
              <w:t>“</w:t>
            </w:r>
            <w:r>
              <w:rPr>
                <w:rFonts w:ascii="Times New Roman;Times;serif" w:hAnsi="Times New Roman;Times;serif"/>
                <w:sz w:val="20"/>
              </w:rPr>
              <w:t>controlled foreign corporations” within the meaning of Section 957(a) of the Code;</w:t>
            </w:r>
          </w:p>
        </w:tc>
      </w:tr>
    </w:tbl>
    <w:tbl>
      <w:tblPr>
        <w:tblW w:w="8301" w:type="dxa"/>
        <w:jc w:val="left"/>
        <w:tblInd w:w="0" w:type="dxa"/>
        <w:tblCellMar>
          <w:top w:w="0" w:type="dxa"/>
          <w:left w:w="0" w:type="dxa"/>
          <w:bottom w:w="0" w:type="dxa"/>
          <w:right w:w="0" w:type="dxa"/>
        </w:tblCellMar>
      </w:tblPr>
      <w:tblGrid>
        <w:gridCol w:w="124"/>
        <w:gridCol w:w="181"/>
        <w:gridCol w:w="79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996" w:type="dxa"/>
            <w:tcBorders/>
            <w:shd w:fill="auto" w:val="clear"/>
            <w:vAlign w:val="center"/>
          </w:tcPr>
          <w:p>
            <w:pPr>
              <w:pStyle w:val="TableContents"/>
              <w:spacing w:before="0" w:after="240"/>
              <w:jc w:val="both"/>
              <w:rPr/>
            </w:pPr>
            <w:r>
              <w:rPr/>
              <w:t>“</w:t>
            </w:r>
            <w:r>
              <w:rPr>
                <w:rFonts w:ascii="Times New Roman;Times;serif" w:hAnsi="Times New Roman;Times;serif"/>
                <w:sz w:val="20"/>
              </w:rPr>
              <w:t>passive foreign investment companies” within the meaning of Section 1297(a) of the Code; and</w:t>
            </w:r>
          </w:p>
        </w:tc>
      </w:tr>
    </w:tbl>
    <w:tbl>
      <w:tblPr>
        <w:tblW w:w="6231" w:type="dxa"/>
        <w:jc w:val="left"/>
        <w:tblInd w:w="0" w:type="dxa"/>
        <w:tblCellMar>
          <w:top w:w="0" w:type="dxa"/>
          <w:left w:w="0" w:type="dxa"/>
          <w:bottom w:w="0" w:type="dxa"/>
          <w:right w:w="0" w:type="dxa"/>
        </w:tblCellMar>
      </w:tblPr>
      <w:tblGrid>
        <w:gridCol w:w="124"/>
        <w:gridCol w:w="181"/>
        <w:gridCol w:w="59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9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purposes of this discussion, a “U.S. Holder” is a beneficial owner of Ordinary Shares, that is, for U.S. federal income tax purposes:</w:t>
      </w:r>
    </w:p>
    <w:tbl>
      <w:tblPr>
        <w:tblW w:w="5826" w:type="dxa"/>
        <w:jc w:val="left"/>
        <w:tblInd w:w="0" w:type="dxa"/>
        <w:tblCellMar>
          <w:top w:w="0" w:type="dxa"/>
          <w:left w:w="0" w:type="dxa"/>
          <w:bottom w:w="0" w:type="dxa"/>
          <w:right w:w="0" w:type="dxa"/>
        </w:tblCellMar>
      </w:tblPr>
      <w:tblGrid>
        <w:gridCol w:w="124"/>
        <w:gridCol w:w="181"/>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5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individual who is a U.S. citizen or resident of the United States;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corporation (including an entity treated as a corporation for U.S. federal income tax purposes) created or organized in or under the laws of the United States, any state thereof, or the District of Columbia;</w:t>
            </w:r>
          </w:p>
        </w:tc>
      </w:tr>
    </w:tbl>
    <w:tbl>
      <w:tblPr>
        <w:tblW w:w="8361" w:type="dxa"/>
        <w:jc w:val="left"/>
        <w:tblInd w:w="0" w:type="dxa"/>
        <w:tblCellMar>
          <w:top w:w="0" w:type="dxa"/>
          <w:left w:w="0" w:type="dxa"/>
          <w:bottom w:w="0" w:type="dxa"/>
          <w:right w:w="0" w:type="dxa"/>
        </w:tblCellMar>
      </w:tblPr>
      <w:tblGrid>
        <w:gridCol w:w="124"/>
        <w:gridCol w:w="181"/>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0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Distributions on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Sale or Other Taxable Disposition of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Company’s analysis of its income, assets, activities, and market capitalization, the Company believes that it was not a PFIC for its taxable year ended December 31, 2022.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proprietary cryptocurrency 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these rules: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U.S. Holder’s gain or excess distribution will be allocated ratably over the U.S. Holder’s holding period in its Ordinary Shares;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amount allocated to other taxable years (or portions thereof) of the U.S. Holder and included in the U.S. Holder’s holding period will be taxed at the highest tax rate in effect for that year and applicable to the U.S. Holder;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PFIC Elections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Related PFIC Rules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spacing w:before="0" w:after="240"/>
        <w:ind w:left="0" w:right="0" w:firstLine="403"/>
        <w:jc w:val="both"/>
        <w:rPr>
          <w:rFonts w:ascii="Times New Roman;Times;serif" w:hAnsi="Times New Roman;Times;serif"/>
          <w:sz w:val="20"/>
        </w:rPr>
      </w:pPr>
      <w:r>
        <w:rPr>
          <w:rFonts w:ascii="Times New Roman;Times;serif" w:hAnsi="Times New Roman;Times;serif"/>
          <w:sz w:val="20"/>
        </w:rPr>
        <w:t>THE PFIC RULES ARE VERY COMPLEX AND U.S. HOLDERS SHOULD CONSULT THEIR TAX ADVISORS REGARDING THE APPLICATION OF SUCH RULES IN THEIR PARTICULAR CIRCUMSTANCES.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U.S. Holders should consult their tax advisors regarding the information reporting requirements and the application of the backup withholding rules in their particular circumstances.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Cayman Islands Tax Considerations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Prospective investors should consult their professional advisers on the possible tax consequences of buying, holding or selling any shares under the laws of their country of citizenship, residence or domicile.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Under Existing Cayman Islands Laws: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 stamp duty is payable in respect of the issue of our securities or on an instrument of transfer in respect of our securities.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been incorporated under the laws of the Cayman Islands as an exempted company with limited liability and, as such, has applied for and expects to obtain / obtained an undertaking from the Governor in Cabinet of the Cayman Islands in the following form:</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The Tax Concessions Law</w:t>
      </w:r>
    </w:p>
    <w:p>
      <w:pPr>
        <w:pStyle w:val="TextBody"/>
        <w:pBdr/>
        <w:spacing w:before="0" w:after="240"/>
        <w:ind w:left="0" w:right="0" w:hanging="360"/>
        <w:jc w:val="both"/>
        <w:rPr>
          <w:rFonts w:ascii="Times New Roman;Times;serif" w:hAnsi="Times New Roman;Times;serif"/>
          <w:sz w:val="20"/>
        </w:rPr>
      </w:pPr>
      <w:r>
        <w:rPr>
          <w:rFonts w:ascii="Times New Roman;Times;serif" w:hAnsi="Times New Roman;Times;serif"/>
          <w:i/>
          <w:sz w:val="20"/>
        </w:rPr>
        <w:t>Undertaking as to Tax</w:t>
      </w:r>
      <w:r>
        <w:rPr>
          <w:rFonts w:ascii="Times New Roman;Times;serif" w:hAnsi="Times New Roman;Times;serif"/>
          <w:sz w:val="20"/>
        </w:rPr>
        <w:t xml:space="preserve"> </w:t>
      </w:r>
      <w:r>
        <w:rPr>
          <w:rFonts w:ascii="Times New Roman;Times;serif" w:hAnsi="Times New Roman;Times;serif"/>
          <w:i/>
          <w:sz w:val="20"/>
        </w:rPr>
        <w:t>Concessions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Section 6 of the Tax Concessions Act (2018 Revision) of the Cayman Islands, we plan to apply an undertaking from the Governor in Cabinet: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that no law which is hereafter enacted in the Cayman Islands imposing any tax to be levied on profits, income, gains or appreciations shall apply to its operations; and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   in addition, that no tax to be levied on profits, income, gains or appreciations or which is in the nature of estate duty or inheritance tax shall be payable:</w:t>
      </w:r>
    </w:p>
    <w:p>
      <w:pPr>
        <w:pStyle w:val="TextBody"/>
        <w:spacing w:before="0" w:after="240"/>
        <w:ind w:left="432" w:right="0" w:firstLine="360"/>
        <w:jc w:val="both"/>
        <w:rPr>
          <w:rFonts w:ascii="Times New Roman;Times;serif" w:hAnsi="Times New Roman;Times;serif"/>
          <w:sz w:val="20"/>
        </w:rPr>
      </w:pPr>
      <w:r>
        <w:rPr>
          <w:rFonts w:ascii="Times New Roman;Times;serif" w:hAnsi="Times New Roman;Times;serif"/>
          <w:sz w:val="20"/>
        </w:rPr>
        <w:t>(i)   on or in respect of the shares, debentures or other obligations of BSGA; or</w:t>
      </w:r>
    </w:p>
    <w:p>
      <w:pPr>
        <w:pStyle w:val="TextBody"/>
        <w:spacing w:before="0" w:after="240"/>
        <w:ind w:left="432" w:right="0" w:firstLine="360"/>
        <w:jc w:val="both"/>
        <w:rPr>
          <w:rFonts w:ascii="Times New Roman;Times;serif" w:hAnsi="Times New Roman;Times;serif"/>
          <w:sz w:val="20"/>
        </w:rPr>
      </w:pPr>
      <w:r>
        <w:rPr>
          <w:rFonts w:ascii="Times New Roman;Times;serif" w:hAnsi="Times New Roman;Times;serif"/>
          <w:sz w:val="20"/>
        </w:rPr>
        <w:t>(ii)   by way of the withholding in whole or part, of any relevant payment as defined in Section 6(3) of the Tax Concessions Law.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concessions shall be for a period of TWENTY years from the date of such undertaking.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tbl>
      <w:tblPr>
        <w:tblW w:w="2897" w:type="dxa"/>
        <w:jc w:val="left"/>
        <w:tblInd w:w="0" w:type="dxa"/>
        <w:tblCellMar>
          <w:top w:w="0" w:type="dxa"/>
          <w:left w:w="0" w:type="dxa"/>
          <w:bottom w:w="0" w:type="dxa"/>
          <w:right w:w="0" w:type="dxa"/>
        </w:tblCellMar>
      </w:tblPr>
      <w:tblGrid>
        <w:gridCol w:w="286"/>
        <w:gridCol w:w="2611"/>
      </w:tblGrid>
      <w:tr>
        <w:trPr/>
        <w:tc>
          <w:tcPr>
            <w:tcW w:w="28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F.</w:t>
            </w:r>
          </w:p>
        </w:tc>
        <w:tc>
          <w:tcPr>
            <w:tcW w:w="261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Dividends and Paying Agents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2267" w:type="dxa"/>
        <w:jc w:val="left"/>
        <w:tblInd w:w="0" w:type="dxa"/>
        <w:tblCellMar>
          <w:top w:w="0" w:type="dxa"/>
          <w:left w:w="0" w:type="dxa"/>
          <w:bottom w:w="0" w:type="dxa"/>
          <w:right w:w="0" w:type="dxa"/>
        </w:tblCellMar>
      </w:tblPr>
      <w:tblGrid>
        <w:gridCol w:w="316"/>
        <w:gridCol w:w="1951"/>
      </w:tblGrid>
      <w:tr>
        <w:trPr/>
        <w:tc>
          <w:tcPr>
            <w:tcW w:w="3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G.</w:t>
            </w:r>
          </w:p>
        </w:tc>
        <w:tc>
          <w:tcPr>
            <w:tcW w:w="19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Statement by Experts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342" w:type="dxa"/>
        <w:jc w:val="left"/>
        <w:tblInd w:w="0" w:type="dxa"/>
        <w:tblCellMar>
          <w:top w:w="0" w:type="dxa"/>
          <w:left w:w="0" w:type="dxa"/>
          <w:bottom w:w="0" w:type="dxa"/>
          <w:right w:w="0" w:type="dxa"/>
        </w:tblCellMar>
      </w:tblPr>
      <w:tblGrid>
        <w:gridCol w:w="316"/>
        <w:gridCol w:w="2026"/>
      </w:tblGrid>
      <w:tr>
        <w:trPr/>
        <w:tc>
          <w:tcPr>
            <w:tcW w:w="3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H.</w:t>
            </w:r>
          </w:p>
        </w:tc>
        <w:tc>
          <w:tcPr>
            <w:tcW w:w="202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Documents on Display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may, but are not required, to furnish to the SEC, on Form 6-K, unaudited financial information after each of our first three fiscal quarters. The SEC also maintains a website at </w:t>
      </w:r>
      <w:r>
        <w:rPr>
          <w:rFonts w:ascii="Times New Roman;Times;serif" w:hAnsi="Times New Roman;Times;serif"/>
          <w:i/>
          <w:sz w:val="20"/>
        </w:rPr>
        <w:t>http://www.sec.gov</w:t>
      </w:r>
      <w:r>
        <w:rPr>
          <w:rFonts w:ascii="Times New Roman;Times;serif" w:hAnsi="Times New Roman;Times;serif"/>
          <w:sz w:val="20"/>
        </w:rPr>
        <w:t xml:space="preserve"> 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tbl>
      <w:tblPr>
        <w:tblW w:w="2387" w:type="dxa"/>
        <w:jc w:val="left"/>
        <w:tblInd w:w="0" w:type="dxa"/>
        <w:tblCellMar>
          <w:top w:w="0" w:type="dxa"/>
          <w:left w:w="0" w:type="dxa"/>
          <w:bottom w:w="0" w:type="dxa"/>
          <w:right w:w="0" w:type="dxa"/>
        </w:tblCellMar>
      </w:tblPr>
      <w:tblGrid>
        <w:gridCol w:w="241"/>
        <w:gridCol w:w="2146"/>
      </w:tblGrid>
      <w:tr>
        <w:trPr/>
        <w:tc>
          <w:tcPr>
            <w:tcW w:w="24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I.</w:t>
            </w:r>
          </w:p>
        </w:tc>
        <w:tc>
          <w:tcPr>
            <w:tcW w:w="214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Subsidiary Information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tbl>
      <w:tblPr>
        <w:tblW w:w="3347" w:type="dxa"/>
        <w:jc w:val="left"/>
        <w:tblInd w:w="0" w:type="dxa"/>
        <w:tblCellMar>
          <w:top w:w="0" w:type="dxa"/>
          <w:left w:w="0" w:type="dxa"/>
          <w:bottom w:w="0" w:type="dxa"/>
          <w:right w:w="0" w:type="dxa"/>
        </w:tblCellMar>
      </w:tblPr>
      <w:tblGrid>
        <w:gridCol w:w="271"/>
        <w:gridCol w:w="3076"/>
      </w:tblGrid>
      <w:tr>
        <w:trPr/>
        <w:tc>
          <w:tcPr>
            <w:tcW w:w="27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J.</w:t>
            </w:r>
          </w:p>
        </w:tc>
        <w:tc>
          <w:tcPr>
            <w:tcW w:w="307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Annual Report to Security Holders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360"/>
        <w:jc w:val="both"/>
        <w:rPr>
          <w:rFonts w:ascii="Times New Roman;Times;serif" w:hAnsi="Times New Roman;Times;serif"/>
          <w:b/>
          <w:sz w:val="20"/>
        </w:rPr>
      </w:pPr>
      <w:bookmarkStart w:id="68" w:name="ITEM11QUANTITATIVEANDQUALITATIVEDISCLOSU"/>
      <w:bookmarkStart w:id="69" w:name="_118e90b6_6d5a_4d34_af15_c8df55defe46"/>
      <w:bookmarkEnd w:id="68"/>
      <w:bookmarkEnd w:id="69"/>
      <w:r>
        <w:rPr>
          <w:rFonts w:ascii="Times New Roman;Times;serif" w:hAnsi="Times New Roman;Times;serif"/>
          <w:b/>
          <w:sz w:val="20"/>
        </w:rPr>
        <w:t>ITEM 11. QUANTITATIVE AND QUALITATIVE DISCLOSURES ABOUT MARKET RISK</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Cryptocurrency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cryptocurrency risk as we yield cryptocurrencies from certain revenue arrangements. We recognize revenue based on the spot fair value of cryptocurrencies on the day they are earned, but the value of the cryptocurrencies is subject to change on the date they are disposed for fiat currency.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Cryptocurrency prices are affected by various forces including global supply and demand, interest rates, exchange rates, inflation or deflation and the global political and economic conditions. Our profitability is highly correlated to the current and future market price of cryptocurrencies and a decline in the market prices for cryptocurrencies could negatively impact our future operations. In addition, we may not be able to liquidate our holdings of cryptocurrencies at our desired price if required, or, in extreme market conditions, we may not be able to liquidate our holdings of cryptocurrencies at all.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Cryptocurrencies have a limited history, and the fair value of cryptocurrencies has been very volatile. The historical performance of cryptocurrencies is not indicative of their future price performance. The cryptocurrencies involved in our operation are currently primarily based on bitcoin and USDT. We currently do not use any derivative contracts to hedge our exposure to cryptocurrency risk, but our management closely monitors the impact of the mainstream cryptocurrency exchange market on the change of exchange rates from cryptocurrency to fiat currency. We limit our exposure to the cryptocurrency risk by including in our operation strategy to dispose of the cryptocurrencies for fiat currency shortly after they are earned.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Fluctuations in the market price of Bitcoin and/or other cryptocurrencies may have a more linear and quantifiable impact on some of our businesses than others. A 10% increase or decrease in the average market price of Bitcoin and/or other cryptocurrencies over 2020, 2021 and 2022, without considering other factors, would have had the following impact on our revenue: (i) an increase or decrease in our revenue from proprietary mining by 10%; (ii) an increase or decrease in our revenue from </w:t>
      </w:r>
      <w:r>
        <w:rPr>
          <w:rFonts w:ascii="Times New Roman;Times;serif" w:hAnsi="Times New Roman;Times;serif"/>
          <w:i/>
          <w:sz w:val="20"/>
        </w:rPr>
        <w:t>Cloud Hash Rate</w:t>
      </w:r>
      <w:r>
        <w:rPr>
          <w:rFonts w:ascii="Times New Roman;Times;serif" w:hAnsi="Times New Roman;Times;serif"/>
          <w:sz w:val="20"/>
        </w:rPr>
        <w:t xml:space="preserve"> in general, as the price of Bitcoin is a key factor in determining the hash rate subscription fee, provided however, the precise impact is subject to other factors, such as the expected mining rewards at the time of subscription, contract terms, allocation of hash rate between classic and accelerator mode, and electricity price; and (iii) an increase or decrease in revenue from </w:t>
      </w:r>
      <w:r>
        <w:rPr>
          <w:rFonts w:ascii="Times New Roman;Times;serif" w:hAnsi="Times New Roman;Times;serif"/>
          <w:i/>
          <w:sz w:val="20"/>
        </w:rPr>
        <w:t>Cloud Hosting,</w:t>
      </w:r>
      <w:r>
        <w:rPr>
          <w:rFonts w:ascii="Times New Roman;Times;serif" w:hAnsi="Times New Roman;Times;serif"/>
          <w:sz w:val="20"/>
        </w:rPr>
        <w:t xml:space="preserve"> provided that the overall impact is less linear as compared to in the case of proprietary mining. The impact on the revenue from sales of mining machines depends on market sentiments towards Bitcoin at the relevant point in time, in addition to the actual price of Bitcoin. A change in the market price of Bitcoin and/or other cryptocurrencies would not have had a material effect on our revenue from other sources.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Bitcoin and other cryptocurrencies accounted for 1.0% and 0.3% of our total assets as of December 31, 2021 and 2022, respectively. Since we dispose cryptocurrencies in a relatively short period of time, a 10% increase or decrease in the market price of Bitcoin and other cryptocurrencies as of December 31, 2020, December 31, 2021 and December 31, 2022, respectively, would not have had a material effect on our total assets at these dates.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interest rate risk is primarily attributable to bank deposits, restricted cash and borrowings. Bank deposits, restricted cash and borrowings at variable rates and at fixed rates expose us to cash flow interest rate risk and fair value interest rate risk respectively. Our management closely monitors the fluctuation of such rates periodically. If the interest rates had been higher or lower by 1% with all other variables including tax rate being held constant, the profit/(loss) before tax would have been higher or lower by US$0.5 million,  US$3.5 million and US$2.1 million for the years ended December 31, 2020, 2021 and 2022, respectively.</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Investment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investment risk from investment transactions such as investment in financial assets at fair value through profit or loss. These investments are not principal-guaranteed, and we may suffer material loss from such investments. We monitor our investments closely and limits our exposure to the investment risk by including in its operation strategy the requirements to perform due diligence on the prospective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Foreign Currency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foreign currency risk as we conduct transactions which give rise to payables and cash balances that are denominated in foreign currencies and the fair value or future cash flows of our financial instrument may fluctuate due to movement in foreign exchange rates of these foreign currencies. The volatility of exchange rates depends on many factors that we are not able to accurately forecast. Our management is closely monitoring our exposure to currency risk and seeks to minimize its exposure to such risk. We were not exposed to material foreign currency risk during the years ended December 31, 2020 and 2021 and 2022.</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Credit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refers to the risk that a counterparty will default on its contractual obligations resulting in a financial loss to us. Our credit risk currently arises mainly from cash deposited in the banks and cryptocurrencies deposited in custody.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manage risk arising from cash, cash equivalents and restricted cash, we only transact with reputable financial institutions, which have no recent history of default. As such, we are not subject to material credit risk arising from cash, cash equivalents and restricted cash.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2020, 2021 and 2022, substantially all of our cryptocurrencies are stored in wallets held in the custody by Matrix Finance and Technologies Holding Company (“Matrixport Group”), a related party. To limit exposure to credit risk relating to cryptocurrencies under custody, we evaluate the system security design of the custody service provider and regularly reviews the exposure of cryptocurrencies held in custody. We have further implemented internal controls to ensure the appropriate access to the cryptocurrencies under custody and adopted the operating strategy of disposing of the cryptocurrency for fiat currency shortly after they are earned. We expect that there is no significant credit risk from non-performance by Matrixport Group.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Bitcoin and other blockchain-based cryptocurrencies have been, and may in the future be, subject to security breaches, cyberattacks, or other malicious activities. A successful security breach or cyberattack could result in a partial or total loss of our cryptocurrencies and such a loss could have a material adverse effect on our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Liquidity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Liquidity risk arises in situations where we have difficulties in fulfilling financial liabilities when they become due. Prudent liquidity risk management implies maintaining sufficient cash in order to meet our financial obligations. Our liquidity risk is minimal. We currently have sufficient reserve of cash. As of December 31, 2022, we recorded cash and cash equivalents of US$231.4 million and fiat currency investment of US$31.1 million in unlisted debt instruments, which is redeemable on demand. During the year ended December 31, 2022, our net cash used in operating activities was US$268.0 million. We believe that our cash, short-term investment and anticipated proceeds from disposal of cryptocurrencies in connection with our principal business will be sufficient to meet our current and anticipated working capital requirements and capital expenditures for at least the next 18 months from the date of this annual report. We manage our liquidity risk by monitoring cash flow generated from operations, available borrowing capacity, and by managing the maturity profiles of our long-term loans. We expect to continue our low-leverage strategy and plan to lower our liquidity risk by expanding our capital expenditure-light businesses such as </w:t>
      </w:r>
      <w:r>
        <w:rPr>
          <w:rFonts w:ascii="Times New Roman;Times;serif" w:hAnsi="Times New Roman;Times;serif"/>
          <w:i/>
          <w:sz w:val="20"/>
        </w:rPr>
        <w:t>Hash Rate Marketplace</w:t>
      </w:r>
      <w:r>
        <w:rPr>
          <w:rFonts w:ascii="Times New Roman;Times;serif" w:hAnsi="Times New Roman;Times;serif"/>
          <w:sz w:val="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bookmarkStart w:id="70" w:name="ITEM12DESCRIPTIONOFSECURITIESOTHERTHANEQ"/>
      <w:bookmarkStart w:id="71" w:name="_dfa17d85_1877_4e4c_81a0_61c9815a9900"/>
      <w:bookmarkEnd w:id="70"/>
      <w:bookmarkEnd w:id="71"/>
      <w:r>
        <w:rPr>
          <w:rFonts w:ascii="Times New Roman;Times;serif" w:hAnsi="Times New Roman;Times;serif"/>
          <w:b/>
          <w:sz w:val="20"/>
        </w:rPr>
        <w:t>ITEM 12. DESCRIPTION OF SECURITIES OTHER THAN EQUITY SECURITIES</w:t>
      </w:r>
    </w:p>
    <w:tbl>
      <w:tblPr>
        <w:tblW w:w="1712" w:type="dxa"/>
        <w:jc w:val="left"/>
        <w:tblInd w:w="0" w:type="dxa"/>
        <w:tblCellMar>
          <w:top w:w="0" w:type="dxa"/>
          <w:left w:w="0" w:type="dxa"/>
          <w:bottom w:w="0" w:type="dxa"/>
          <w:right w:w="0" w:type="dxa"/>
        </w:tblCellMar>
      </w:tblPr>
      <w:tblGrid>
        <w:gridCol w:w="301"/>
        <w:gridCol w:w="141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w:t>
            </w:r>
          </w:p>
        </w:tc>
        <w:tc>
          <w:tcPr>
            <w:tcW w:w="141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Debt Securities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2222" w:type="dxa"/>
        <w:jc w:val="left"/>
        <w:tblInd w:w="0" w:type="dxa"/>
        <w:tblCellMar>
          <w:top w:w="0" w:type="dxa"/>
          <w:left w:w="0" w:type="dxa"/>
          <w:bottom w:w="0" w:type="dxa"/>
          <w:right w:w="0" w:type="dxa"/>
        </w:tblCellMar>
      </w:tblPr>
      <w:tblGrid>
        <w:gridCol w:w="301"/>
        <w:gridCol w:w="192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w:t>
            </w:r>
          </w:p>
        </w:tc>
        <w:tc>
          <w:tcPr>
            <w:tcW w:w="192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Warrants and Rights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1817" w:type="dxa"/>
        <w:jc w:val="left"/>
        <w:tblInd w:w="0" w:type="dxa"/>
        <w:tblCellMar>
          <w:top w:w="0" w:type="dxa"/>
          <w:left w:w="0" w:type="dxa"/>
          <w:bottom w:w="0" w:type="dxa"/>
          <w:right w:w="0" w:type="dxa"/>
        </w:tblCellMar>
      </w:tblPr>
      <w:tblGrid>
        <w:gridCol w:w="301"/>
        <w:gridCol w:w="1516"/>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w:t>
            </w:r>
          </w:p>
        </w:tc>
        <w:tc>
          <w:tcPr>
            <w:tcW w:w="15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Other Securities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2882" w:type="dxa"/>
        <w:jc w:val="left"/>
        <w:tblInd w:w="0" w:type="dxa"/>
        <w:tblCellMar>
          <w:top w:w="0" w:type="dxa"/>
          <w:left w:w="0" w:type="dxa"/>
          <w:bottom w:w="0" w:type="dxa"/>
          <w:right w:w="0" w:type="dxa"/>
        </w:tblCellMar>
      </w:tblPr>
      <w:tblGrid>
        <w:gridCol w:w="301"/>
        <w:gridCol w:w="2581"/>
      </w:tblGrid>
      <w:tr>
        <w:trPr/>
        <w:tc>
          <w:tcPr>
            <w:tcW w:w="30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D.</w:t>
            </w:r>
          </w:p>
        </w:tc>
        <w:tc>
          <w:tcPr>
            <w:tcW w:w="25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American Depositary Shares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72" w:name="PARTII_964113"/>
      <w:bookmarkStart w:id="73" w:name="_d217280b_b906_4677_b676_dfa4166a0546"/>
      <w:bookmarkEnd w:id="72"/>
      <w:bookmarkEnd w:id="73"/>
      <w:r>
        <w:rPr>
          <w:rFonts w:ascii="Times New Roman;Times;serif" w:hAnsi="Times New Roman;Times;serif"/>
          <w:b/>
          <w:sz w:val="20"/>
        </w:rPr>
        <w:t>PART II</w:t>
      </w:r>
    </w:p>
    <w:p>
      <w:pPr>
        <w:pStyle w:val="TextBody"/>
        <w:pBdr/>
        <w:spacing w:before="0" w:after="240"/>
        <w:ind w:left="0" w:right="0" w:hanging="360"/>
        <w:jc w:val="both"/>
        <w:rPr>
          <w:rFonts w:ascii="Times New Roman;Times;serif" w:hAnsi="Times New Roman;Times;serif"/>
          <w:b/>
          <w:sz w:val="20"/>
        </w:rPr>
      </w:pPr>
      <w:bookmarkStart w:id="74" w:name="ITEM13DEFAULTSDIVIDENDARREARAGESANDDELIN"/>
      <w:bookmarkEnd w:id="74"/>
      <w:r>
        <w:rPr>
          <w:rFonts w:ascii="Times New Roman;Times;serif" w:hAnsi="Times New Roman;Times;serif"/>
          <w:b/>
          <w:sz w:val="20"/>
        </w:rPr>
        <w:t>ITEM 13. DEFAULTS, DIVIDEND ARREARAGES AND DELINQUENCIES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None.</w:t>
      </w:r>
    </w:p>
    <w:p>
      <w:pPr>
        <w:pStyle w:val="TextBody"/>
        <w:pBdr/>
        <w:spacing w:before="0" w:after="240"/>
        <w:ind w:left="0" w:right="0" w:hanging="360"/>
        <w:jc w:val="both"/>
        <w:rPr>
          <w:rFonts w:ascii="Times New Roman;Times;serif" w:hAnsi="Times New Roman;Times;serif"/>
          <w:b/>
          <w:sz w:val="20"/>
        </w:rPr>
      </w:pPr>
      <w:bookmarkStart w:id="75" w:name="ITEM14MATERIALMODIFICATIONSTOTHERIGHTSOF"/>
      <w:bookmarkStart w:id="76" w:name="_1b2e48ad_7c5e_4b2a_9795_b113d9d02d9c"/>
      <w:bookmarkEnd w:id="75"/>
      <w:bookmarkEnd w:id="76"/>
      <w:r>
        <w:rPr>
          <w:rFonts w:ascii="Times New Roman;Times;serif" w:hAnsi="Times New Roman;Times;serif"/>
          <w:b/>
          <w:sz w:val="20"/>
        </w:rPr>
        <w:t>ITEM 14. MATERIAL MODIFICATIONS TO THE RIGHTS OF SECURITY HOLDERS AND USE OF PROCEEDS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360"/>
        <w:jc w:val="both"/>
        <w:rPr>
          <w:rFonts w:ascii="Times New Roman;Times;serif" w:hAnsi="Times New Roman;Times;serif"/>
          <w:b/>
          <w:sz w:val="20"/>
        </w:rPr>
      </w:pPr>
      <w:bookmarkStart w:id="77" w:name="ITEM15CONTROLSANDPROCEDURESNoteCoandMBto"/>
      <w:bookmarkStart w:id="78" w:name="_3793447b_98a7_40ca_b35d_9f5080816cde"/>
      <w:bookmarkEnd w:id="77"/>
      <w:bookmarkEnd w:id="78"/>
      <w:r>
        <w:rPr>
          <w:rFonts w:ascii="Times New Roman;Times;serif" w:hAnsi="Times New Roman;Times;serif"/>
          <w:b/>
          <w:sz w:val="20"/>
        </w:rPr>
        <w:t>ITEM 15. CONTROLS AND PROCEDURES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under the supervision and with the participation of our chief executive officer and chief financial officer, carried out an evaluation of the effectiveness of our disclosure controls and procedures, which is defined in Rules 13a-15(e) of the Exchange Act, as of December 31,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Based upon that evaluation, our management has concluded that, due to a material weakness identified below, as of December 31, 2022,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does not include a report of management’s assessment regarding internal control over financial reporting or an attestation report by our independent registered public accounting firm due to a transition period established by rules of the SEC for newly listed public companies.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Attestation Report of Independent Registered Public Accounting Firm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audit of Bitdeer’s financial statements for the years ended December 31, 2022, one material weakness was identified in the design and operating effectiveness of our internal control over financial reporting with respect to the Internal Control — Integrated Framework (2013 Framework) issued by the Committee of Sponsoring Organizations of the Treadway Commission (“COSO”), concerning in particular the control environment due to lack of sufficient financial reporting and accounting personnel with appropriate knowledge to design, implement and operate key controls over financial reporting process to address complex and emerging technical accounting issues and related disclosures in accordance with IFRS.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Bitdeer’s annual or interim financial statements will not be prevented or detected on a timely basis. As a consequence of this material weakness, accounting errors were identified in Bitdeer’s combined and consolidated statements of operations and comprehensive loss and cash flows for the years ended December 31, 2020 and 2021 primarily related to revenue presentation in relation to the sales of mining machine business and the cash flow presentation related to the disposal of cryptocurrencies earned from revenue arrangements. The revenue and cost of revenue on the combined statements of operations and comprehensive loss and the operating and investing cash flows on the combined statements of cash flows have been restated as included in this annual report. The material weakness could also result in other misstatements of Bitdeer’s accounts or disclosures, which may result in additional material misstatements in Bitdeer’s annual or interim financial statements that would not be prevented or detected.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instituted plans to remediate the material weakness, including implementation of appropriate processes with the objective of improving the effectiveness of controls over financial reporting, and we expect to invest more resources in our design and execution of our Sarbanes-Oxley Act compliance program following the completion of the Business Combination, such as reassessing existing entity-level controls and, as necessary, implementing enhancements to such controls. However, we cannot predict the success of such plan or the outcome of its assessment of these plans at this time. Additionally, we cannot assure you that we have identified all, or that we will not in the future have additional, material weaknesses. As a company with less than US$1.235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pBdr/>
        <w:spacing w:before="0" w:after="240"/>
        <w:ind w:left="0" w:right="0" w:hanging="360"/>
        <w:jc w:val="both"/>
        <w:rPr>
          <w:rFonts w:ascii="Times New Roman;Times;serif" w:hAnsi="Times New Roman;Times;serif"/>
          <w:b/>
          <w:sz w:val="20"/>
        </w:rPr>
      </w:pPr>
      <w:bookmarkStart w:id="79" w:name="ITEM16RESERVED_482464"/>
      <w:bookmarkStart w:id="80" w:name="_f90f2bc1_6d8d_4e74_a677_023b8dd2114f"/>
      <w:bookmarkEnd w:id="79"/>
      <w:bookmarkEnd w:id="80"/>
      <w:r>
        <w:rPr>
          <w:rFonts w:ascii="Times New Roman;Times;serif" w:hAnsi="Times New Roman;Times;serif"/>
          <w:b/>
          <w:sz w:val="20"/>
        </w:rPr>
        <w:t>ITEM 16. [RESERVED]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pBdr/>
        <w:spacing w:before="0" w:after="240"/>
        <w:ind w:left="0" w:right="0" w:hanging="360"/>
        <w:jc w:val="both"/>
        <w:rPr>
          <w:rFonts w:ascii="Times New Roman;Times;serif" w:hAnsi="Times New Roman;Times;serif"/>
          <w:b/>
          <w:sz w:val="20"/>
        </w:rPr>
      </w:pPr>
      <w:bookmarkStart w:id="81" w:name="ITEM16AAUDITCOMMITTEEANDFINANCIALEXPERT_"/>
      <w:bookmarkStart w:id="82" w:name="_b964f6c5_53e5_43df_b7d3_31a35530d5f6"/>
      <w:bookmarkEnd w:id="81"/>
      <w:bookmarkEnd w:id="82"/>
      <w:r>
        <w:rPr>
          <w:rFonts w:ascii="Times New Roman;Times;serif" w:hAnsi="Times New Roman;Times;serif"/>
          <w:b/>
          <w:sz w:val="20"/>
        </w:rPr>
        <w:t>ITEM 16A. AUDIT COMMITTEE FINANCIAL EXPERT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has determined that each of Guang Yang, Sheldon Trainor-DeGirolamo and Naphat Sirimongkolkasem satisfies the independence requirements under Rule 5605(c)(2) of the Nasdaq Stock Market Rules and meets the criteria for independence set forth in Rule 10A-3 of the Exchange Act, as well as the criteria of an audit committee financial expert as set forth under the applicable rules of the SEC.</w:t>
      </w:r>
    </w:p>
    <w:p>
      <w:pPr>
        <w:pStyle w:val="TextBody"/>
        <w:pBdr/>
        <w:spacing w:before="0" w:after="240"/>
        <w:ind w:left="0" w:right="0" w:hanging="360"/>
        <w:jc w:val="both"/>
        <w:rPr>
          <w:rFonts w:ascii="Times New Roman;Times;serif" w:hAnsi="Times New Roman;Times;serif"/>
          <w:b/>
          <w:sz w:val="20"/>
        </w:rPr>
      </w:pPr>
      <w:bookmarkStart w:id="83" w:name="ITEM16BCODEOFETHICS_438559"/>
      <w:bookmarkStart w:id="84" w:name="_b1b32503_14fb_4460_9076_e9c4e0e99081"/>
      <w:bookmarkEnd w:id="83"/>
      <w:bookmarkEnd w:id="84"/>
      <w:r>
        <w:rPr>
          <w:rFonts w:ascii="Times New Roman;Times;serif" w:hAnsi="Times New Roman;Times;serif"/>
          <w:b/>
          <w:sz w:val="20"/>
        </w:rPr>
        <w:t>ITEM 16B. CODE OF ETHICS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board of directors adopted a code of business conduct and ethics that applies to our directors, officers and employees in March 2023, which was effective in April 2023. We have posted a copy of our code of business conduct and ethics on our website at </w:t>
      </w:r>
      <w:r>
        <w:rPr>
          <w:rFonts w:ascii="Times New Roman;Times;serif" w:hAnsi="Times New Roman;Times;serif"/>
          <w:i/>
          <w:sz w:val="20"/>
        </w:rPr>
        <w:t>https://ir.bitdeer.com/.</w:t>
      </w:r>
    </w:p>
    <w:p>
      <w:pPr>
        <w:pStyle w:val="TextBody"/>
        <w:pBdr/>
        <w:spacing w:before="0" w:after="240"/>
        <w:ind w:left="0" w:right="0" w:hanging="360"/>
        <w:jc w:val="both"/>
        <w:rPr>
          <w:rFonts w:ascii="Times New Roman;Times;serif" w:hAnsi="Times New Roman;Times;serif"/>
          <w:b/>
          <w:sz w:val="20"/>
        </w:rPr>
      </w:pPr>
      <w:bookmarkStart w:id="85" w:name="ITEM16CPRINCIPALACCOUNTANTFEESANDSERVICE"/>
      <w:bookmarkStart w:id="86" w:name="_176d8e89_3e3a_49ae_9f74_a7abab31b894"/>
      <w:bookmarkEnd w:id="85"/>
      <w:bookmarkEnd w:id="86"/>
      <w:r>
        <w:rPr>
          <w:rFonts w:ascii="Times New Roman;Times;serif" w:hAnsi="Times New Roman;Times;serif"/>
          <w:b/>
          <w:sz w:val="20"/>
        </w:rPr>
        <w:t>ITEM 16C. PRINCIPAL ACCOUNTANT FEES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company has retained MaloneBailey, LLP to act as our company’s independent registered accountants.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MaloneBailey, LLP, for the periods indicated.</w:t>
      </w:r>
    </w:p>
    <w:tbl>
      <w:tblPr>
        <w:tblW w:w="4340" w:type="dxa"/>
        <w:jc w:val="left"/>
        <w:tblInd w:w="0" w:type="dxa"/>
        <w:tblCellMar>
          <w:top w:w="0" w:type="dxa"/>
          <w:left w:w="0" w:type="dxa"/>
          <w:bottom w:w="0" w:type="dxa"/>
          <w:right w:w="0" w:type="dxa"/>
        </w:tblCellMar>
      </w:tblPr>
      <w:tblGrid>
        <w:gridCol w:w="1771"/>
        <w:gridCol w:w="451"/>
        <w:gridCol w:w="781"/>
        <w:gridCol w:w="451"/>
        <w:gridCol w:w="886"/>
      </w:tblGrid>
      <w:tr>
        <w:trPr/>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124585" cy="175260"/>
                      <wp:effectExtent l="0" t="0" r="0" b="0"/>
                      <wp:wrapNone/>
                      <wp:docPr id="131" name="Frame130"/>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86385" cy="175260"/>
                      <wp:effectExtent l="0" t="0" r="0" b="0"/>
                      <wp:wrapNone/>
                      <wp:docPr id="132" name="Frame131"/>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3" name="Frame13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86385" cy="175260"/>
                      <wp:effectExtent l="0" t="0" r="0" b="0"/>
                      <wp:wrapNone/>
                      <wp:docPr id="134" name="Frame133"/>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62610" cy="175260"/>
                      <wp:effectExtent l="0" t="0" r="0" b="0"/>
                      <wp:wrapNone/>
                      <wp:docPr id="135" name="Frame13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71"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211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1771"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211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771"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51"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7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(1)</w:t>
            </w:r>
          </w:p>
        </w:tc>
        <w:tc>
          <w:tcPr>
            <w:tcW w:w="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852,490</w:t>
            </w:r>
          </w:p>
        </w:tc>
        <w:tc>
          <w:tcPr>
            <w:tcW w:w="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826,235</w:t>
            </w:r>
          </w:p>
        </w:tc>
      </w:tr>
      <w:tr>
        <w:trPr/>
        <w:tc>
          <w:tcPr>
            <w:tcW w:w="177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sz w:val="15"/>
              </w:rPr>
              <w:t>(2)</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w:t>
            </w:r>
          </w:p>
        </w:tc>
        <w:tc>
          <w:tcPr>
            <w:tcW w:w="88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206,000</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9905" w:type="dxa"/>
            <w:tcBorders/>
            <w:shd w:fill="auto" w:val="clear"/>
            <w:vAlign w:val="center"/>
          </w:tcPr>
          <w:p>
            <w:pPr>
              <w:pStyle w:val="TableContents"/>
              <w:spacing w:before="0" w:after="240"/>
              <w:rPr/>
            </w:pPr>
            <w:r>
              <w:rPr/>
              <w:t>“</w:t>
            </w:r>
            <w:r>
              <w:rPr>
                <w:rFonts w:ascii="Times New Roman;Times;serif" w:hAnsi="Times New Roman;Times;serif"/>
                <w:sz w:val="20"/>
              </w:rPr>
              <w:t>Audit fees” are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 It includes the audits of our consolidated financial statements and other services that generally only the independent accountant reasonably can provide, such as statutory audits.</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9908" w:type="dxa"/>
            <w:tcBorders/>
            <w:shd w:fill="auto" w:val="clear"/>
            <w:vAlign w:val="center"/>
          </w:tcPr>
          <w:p>
            <w:pPr>
              <w:pStyle w:val="TableContents"/>
              <w:spacing w:before="0" w:after="240"/>
              <w:rPr/>
            </w:pPr>
            <w:r>
              <w:rPr/>
              <w:t>“</w:t>
            </w:r>
            <w:r>
              <w:rPr>
                <w:rFonts w:ascii="Times New Roman;Times;serif" w:hAnsi="Times New Roman;Times;serif"/>
                <w:sz w:val="20"/>
              </w:rPr>
              <w:t>Audit-related fees” are fees billed for assurance and related services that are reasonably related to the performance of the audits or review of our consolidated financial statements and not reported under the previous category. These services would include, among others: comfort letters, consents and assistance with and review of documents, accounting consultations and audits in connection with acquisitions, attestation of services that are not required by statue or regulation and consultation concerning financial accounting and reporting standards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policy of our audit committee is to pre-approve all audit, audit-related and non-audit services provided by MaloneBailey, LLP, including audit services, audit-related services, tax services and other services as described above, other than those for de minimis services which are approved by the audit committee prior to the completion of the audit.</w:t>
      </w:r>
    </w:p>
    <w:p>
      <w:pPr>
        <w:pStyle w:val="TextBody"/>
        <w:pBdr/>
        <w:spacing w:before="0" w:after="240"/>
        <w:ind w:left="0" w:right="0" w:hanging="360"/>
        <w:jc w:val="both"/>
        <w:rPr>
          <w:rFonts w:ascii="Times New Roman;Times;serif" w:hAnsi="Times New Roman;Times;serif"/>
          <w:b/>
          <w:sz w:val="20"/>
        </w:rPr>
      </w:pPr>
      <w:bookmarkStart w:id="87" w:name="ITEM16DEXEMPTIONSFROMTHELISTINGSTANDARDS"/>
      <w:bookmarkStart w:id="88" w:name="_7678cc36_8cb4_4518_945d_01d5d84c4f8a"/>
      <w:bookmarkEnd w:id="87"/>
      <w:bookmarkEnd w:id="88"/>
      <w:r>
        <w:rPr>
          <w:rFonts w:ascii="Times New Roman;Times;serif" w:hAnsi="Times New Roman;Times;serif"/>
          <w:b/>
          <w:sz w:val="20"/>
        </w:rPr>
        <w:t>ITEM 16D. EXEMPTIONS FROM THE LISTING STANDARDS FOR AUDIT COMMITTEES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360"/>
        <w:jc w:val="both"/>
        <w:rPr>
          <w:rFonts w:ascii="Times New Roman;Times;serif" w:hAnsi="Times New Roman;Times;serif"/>
          <w:b/>
          <w:sz w:val="20"/>
        </w:rPr>
      </w:pPr>
      <w:bookmarkStart w:id="89" w:name="ITEM16EPURCHASESOFEQUITYSECURITIESBYTHEI"/>
      <w:bookmarkStart w:id="90" w:name="_64b81fdc_9e3e_4d63_9cb6_4f1502814772"/>
      <w:bookmarkEnd w:id="89"/>
      <w:bookmarkEnd w:id="90"/>
      <w:r>
        <w:rPr>
          <w:rFonts w:ascii="Times New Roman;Times;serif" w:hAnsi="Times New Roman;Times;serif"/>
          <w:b/>
          <w:sz w:val="20"/>
        </w:rPr>
        <w:t>ITEM 16E. PURCHASES OF EQUITY SECURITIES BY THE ISSUER AND AFFILIATED PURCHASERS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pBdr/>
        <w:spacing w:before="0" w:after="240"/>
        <w:ind w:left="0" w:right="0" w:hanging="360"/>
        <w:jc w:val="both"/>
        <w:rPr>
          <w:rFonts w:ascii="Times New Roman;Times;serif" w:hAnsi="Times New Roman;Times;serif"/>
          <w:b/>
          <w:sz w:val="20"/>
        </w:rPr>
      </w:pPr>
      <w:bookmarkStart w:id="91" w:name="ITEM16FCHANGEINREGISTRANTSCERTIFYINGACCO"/>
      <w:bookmarkStart w:id="92" w:name="_4a1e70fb_f088_48bb_960b_de0429e37d8f"/>
      <w:bookmarkEnd w:id="91"/>
      <w:bookmarkEnd w:id="92"/>
      <w:r>
        <w:rPr>
          <w:rFonts w:ascii="Times New Roman;Times;serif" w:hAnsi="Times New Roman;Times;serif"/>
          <w:b/>
          <w:sz w:val="20"/>
        </w:rPr>
        <w:t>ITEM 16F. CHANGE IN REGISTRANT’S CERTIFYING ACCOUNTANT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360"/>
        <w:jc w:val="both"/>
        <w:rPr>
          <w:rFonts w:ascii="Times New Roman;Times;serif" w:hAnsi="Times New Roman;Times;serif"/>
          <w:b/>
          <w:sz w:val="20"/>
        </w:rPr>
      </w:pPr>
      <w:bookmarkStart w:id="93" w:name="ITEM16GCORPORATEGOVERNANCE_206810"/>
      <w:bookmarkStart w:id="94" w:name="_d860ddf9_14f3_4dd1_a33b_773124e613fd"/>
      <w:bookmarkEnd w:id="93"/>
      <w:bookmarkEnd w:id="94"/>
      <w:r>
        <w:rPr>
          <w:rFonts w:ascii="Times New Roman;Times;serif" w:hAnsi="Times New Roman;Times;serif"/>
          <w:b/>
          <w:sz w:val="20"/>
        </w:rPr>
        <w:t>ITEM 16G. CORPORATE GOVERNANCE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Cayman Islands exempted company listed on the Nasdaq Capital Market, we are subject to the Nasdaq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See the section entitled “Item 3. Key Information—D. Risk Factors—You may face difficulties in protecting your interests, and your ability to protect your rights through U.S. courts may be limited, because we are incorporated under the law of the Cayman Islands, we conduct a substantial portion of our operations and a majority of our directors and executive officers reside outside of the United States.”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voluntarily follow most Nasdaq corporate governance rules, we may choose to take advantage exemptions afforded to us. See the section entitled “Item 3. Key Information—D. Risk Factors—As an exempted company incorporated in the Cayman Islands, we are permitted to adopt certain home country practices in relation to corporate governance matters that differ significantly from Nasdaq corporate governance listing standards; these practices may afford less protection to holders of Class A Ordinary Shares than they would enjoy if we complied fully with Nasdaq corporate governance listing standards.”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may elect to follow home country practice in lieu the following requirements: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requirement that each member of the compensation committee must be an independent director as set forth in Nasdaq Rule 5605(d)(2)(A);</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requirement that director nomination should be made by a vote in which only independent directors participate or by a nominations committee comprised solely of independent directors as set forth in Nasdaq Rule 5605(e)(1);</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requirement to obtain shareholder approval for certain issuances of securities, including shareholder approval of stock option plans;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requirement that the board of directors shall have regularly scheduled meetings at which only independent directors are present as set forth in Nasdaq Rule 5605(b)(2).</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home country practices described above, we are not aware of any significant differences between our corporate governance practices and those followed by U.S. domestic companies under Nasdaq Stock Market Rules.</w:t>
      </w:r>
    </w:p>
    <w:p>
      <w:pPr>
        <w:pStyle w:val="TextBody"/>
        <w:pBdr/>
        <w:spacing w:before="0" w:after="240"/>
        <w:ind w:left="0" w:right="0" w:hanging="360"/>
        <w:jc w:val="both"/>
        <w:rPr>
          <w:rFonts w:ascii="Times New Roman;Times;serif" w:hAnsi="Times New Roman;Times;serif"/>
          <w:b/>
          <w:sz w:val="20"/>
        </w:rPr>
      </w:pPr>
      <w:bookmarkStart w:id="95" w:name="ITEM16HMINESAFETYDISCLOSURE_256793"/>
      <w:bookmarkStart w:id="96" w:name="_78172958_5c96_4e1f_be5c_b97f64fa396a"/>
      <w:bookmarkEnd w:id="95"/>
      <w:bookmarkEnd w:id="96"/>
      <w:r>
        <w:rPr>
          <w:rFonts w:ascii="Times New Roman;Times;serif" w:hAnsi="Times New Roman;Times;serif"/>
          <w:b/>
          <w:sz w:val="20"/>
        </w:rPr>
        <w:t>ITEM 16H. MINE SAFETY DISCLOSURE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360"/>
        <w:jc w:val="both"/>
        <w:rPr>
          <w:rFonts w:ascii="Times New Roman;Times;serif" w:hAnsi="Times New Roman;Times;serif"/>
          <w:b/>
          <w:sz w:val="20"/>
        </w:rPr>
      </w:pPr>
      <w:bookmarkStart w:id="97" w:name="ITEM16IDISCLOSUREREGARDINGFOREIGNJURISDI"/>
      <w:bookmarkStart w:id="98" w:name="_c81d5698_2c47_4cd2_be6a_5583734d60d5"/>
      <w:bookmarkEnd w:id="97"/>
      <w:bookmarkEnd w:id="98"/>
      <w:r>
        <w:rPr>
          <w:rFonts w:ascii="Times New Roman;Times;serif" w:hAnsi="Times New Roman;Times;serif"/>
          <w:b/>
          <w:sz w:val="20"/>
        </w:rPr>
        <w:t>ITEM 16I. DISCLOSURE REGARDING FOREIGN JURISDICTIONS THAT PREVENT INSPECTIONS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03"/>
        <w:ind w:left="0" w:right="0" w:hanging="0"/>
        <w:jc w:val="center"/>
        <w:rPr>
          <w:rFonts w:ascii="Times New Roman;Times;serif" w:hAnsi="Times New Roman;Times;serif"/>
          <w:b/>
          <w:sz w:val="20"/>
        </w:rPr>
      </w:pPr>
      <w:bookmarkStart w:id="99" w:name="PARTIII_678670"/>
      <w:bookmarkStart w:id="100" w:name="_43374871_c480_4d7f_8a5a_78f9e7d94ebb"/>
      <w:bookmarkEnd w:id="99"/>
      <w:bookmarkEnd w:id="100"/>
      <w:r>
        <w:rPr>
          <w:rFonts w:ascii="Times New Roman;Times;serif" w:hAnsi="Times New Roman;Times;serif"/>
          <w:b/>
          <w:sz w:val="20"/>
        </w:rPr>
        <w:t>PART III</w:t>
      </w:r>
    </w:p>
    <w:p>
      <w:pPr>
        <w:pStyle w:val="TextBody"/>
        <w:pBdr/>
        <w:spacing w:before="0" w:after="240"/>
        <w:ind w:left="0" w:right="0" w:hanging="360"/>
        <w:jc w:val="both"/>
        <w:rPr>
          <w:rFonts w:ascii="Times New Roman;Times;serif" w:hAnsi="Times New Roman;Times;serif"/>
          <w:b/>
          <w:sz w:val="20"/>
        </w:rPr>
      </w:pPr>
      <w:bookmarkStart w:id="101" w:name="ITEM17FINANCIALSTATEMENTS_692287"/>
      <w:bookmarkEnd w:id="101"/>
      <w:r>
        <w:rPr>
          <w:rFonts w:ascii="Times New Roman;Times;serif" w:hAnsi="Times New Roman;Times;serif"/>
          <w:b/>
          <w:sz w:val="20"/>
        </w:rPr>
        <w:t>ITEM 17.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the section entitled “Item 18. Financial Statements.”</w:t>
      </w:r>
    </w:p>
    <w:p>
      <w:pPr>
        <w:pStyle w:val="TextBody"/>
        <w:pBdr/>
        <w:spacing w:before="0" w:after="240"/>
        <w:ind w:left="0" w:right="0" w:hanging="360"/>
        <w:jc w:val="both"/>
        <w:rPr>
          <w:rFonts w:ascii="Times New Roman;Times;serif" w:hAnsi="Times New Roman;Times;serif"/>
          <w:b/>
          <w:sz w:val="20"/>
        </w:rPr>
      </w:pPr>
      <w:bookmarkStart w:id="102" w:name="ITEM18FINANCIALSTATEMENTS_329642"/>
      <w:bookmarkStart w:id="103" w:name="_2c7c4475_07c6_479d_bee8_3901db4a8c0f"/>
      <w:bookmarkEnd w:id="102"/>
      <w:bookmarkEnd w:id="103"/>
      <w:r>
        <w:rPr>
          <w:rFonts w:ascii="Times New Roman;Times;serif" w:hAnsi="Times New Roman;Times;serif"/>
          <w:b/>
          <w:sz w:val="20"/>
        </w:rPr>
        <w:t>ITEM 18.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audited consolidated financial statements of Bitdeer as of December 31, 2021 and for each of the two years in the period ended December 31, 2021, contained in the Form F-4 between pages F-49 and F-101 are incorporated herein by reference.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audited consolidated financial statements of Bitdeer as of December 31, 2022 and for the year ended December 31, 2022 are filed as part of this annual report beginning on page F-1.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audited financial statements of BSGA as of December 31, 2021 and 2022, and for the year ended December 31, 2022 and for the period from February 23, 2021 (inception) through December 31, 2021 contained in the Form F-4 between pages F-2 and F-18 are incorporated herein by reference.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unaudited pro forma condensed combined financial information of Bitdeer and BSGA are attached as Exhibit 15.1 to this annual report.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04" w:name="ITEM19EXHIBITS_388572"/>
      <w:bookmarkStart w:id="105" w:name="_492cd87f_692e_4393_893d_2df8f2aa4d40"/>
      <w:bookmarkEnd w:id="104"/>
      <w:bookmarkEnd w:id="105"/>
      <w:r>
        <w:rPr>
          <w:rFonts w:ascii="Times New Roman;Times;serif" w:hAnsi="Times New Roman;Times;serif"/>
          <w:b/>
          <w:sz w:val="20"/>
        </w:rPr>
        <w:t>ITEM 19. EXHIBITS</w:t>
      </w:r>
    </w:p>
    <w:p>
      <w:pPr>
        <w:pStyle w:val="TextBody"/>
        <w:spacing w:before="0" w:after="4"/>
        <w:ind w:left="0" w:right="0" w:hanging="0"/>
        <w:jc w:val="center"/>
        <w:rPr>
          <w:rFonts w:ascii="Times New Roman;Times;serif" w:hAnsi="Times New Roman;Times;serif"/>
          <w:b/>
          <w:sz w:val="20"/>
        </w:rPr>
      </w:pPr>
      <w:bookmarkStart w:id="106" w:name="EXHIBITINDEX_579686"/>
      <w:bookmarkEnd w:id="106"/>
      <w:r>
        <w:rPr>
          <w:rFonts w:ascii="Times New Roman;Times;serif" w:hAnsi="Times New Roman;Times;serif"/>
          <w:b/>
          <w:sz w:val="20"/>
        </w:rPr>
        <w:t>EXHIBIT INDEX</w:t>
      </w:r>
    </w:p>
    <w:p>
      <w:pPr>
        <w:pStyle w:val="TextBody"/>
        <w:spacing w:before="0" w:after="4"/>
        <w:ind w:left="0" w:right="0" w:hanging="0"/>
        <w:rPr/>
      </w:pPr>
      <w:r>
        <w:rPr/>
        <w:t>​</w:t>
      </w:r>
    </w:p>
    <w:tbl>
      <w:tblPr>
        <w:tblW w:w="10205" w:type="dxa"/>
        <w:jc w:val="left"/>
        <w:tblInd w:w="0" w:type="dxa"/>
        <w:tblCellMar>
          <w:top w:w="0" w:type="dxa"/>
          <w:left w:w="0" w:type="dxa"/>
          <w:bottom w:w="0" w:type="dxa"/>
          <w:right w:w="0" w:type="dxa"/>
        </w:tblCellMar>
      </w:tblPr>
      <w:tblGrid>
        <w:gridCol w:w="976"/>
        <w:gridCol w:w="326"/>
        <w:gridCol w:w="8903"/>
      </w:tblGrid>
      <w:tr>
        <w:trPr/>
        <w:tc>
          <w:tcPr>
            <w:tcW w:w="976"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90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53405" cy="29210"/>
                      <wp:effectExtent l="0" t="0" r="0" b="0"/>
                      <wp:wrapNone/>
                      <wp:docPr id="136" name="Frame135"/>
                      <a:graphic xmlns:a="http://schemas.openxmlformats.org/drawingml/2006/main">
                        <a:graphicData uri="http://schemas.microsoft.com/office/word/2010/wordprocessingShape">
                          <wps:wsp>
                            <wps:cNvSpPr txBox="1"/>
                            <wps:spPr>
                              <a:xfrm>
                                <a:off x="0" y="0"/>
                                <a:ext cx="56534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15pt;height:2.3pt;mso-wrap-distance-left:0pt;mso-wrap-distance-right:0pt;mso-wrap-distance-top:0pt;mso-wrap-distance-bottom:0pt;margin-top:0pt;mso-position-vertical:top;mso-position-vertical-relative:text;margin-left:-222.6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7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shd w:fill="auto" w:val="clear"/>
            <w:vAlign w:val="center"/>
          </w:tcPr>
          <w:p>
            <w:pPr>
              <w:pStyle w:val="TableHeading"/>
              <w:spacing w:before="0" w:after="0"/>
              <w:ind w:left="0" w:right="0" w:hanging="0"/>
              <w:jc w:val="center"/>
              <w:rPr/>
            </w:pPr>
            <w:r>
              <w:rPr/>
              <w:t>    </w:t>
            </w:r>
          </w:p>
        </w:tc>
        <w:tc>
          <w:tcPr>
            <w:tcW w:w="890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7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center"/>
              <w:rPr/>
            </w:pPr>
            <w:r>
              <w:rPr/>
              <w:t>​</w:t>
            </w:r>
          </w:p>
        </w:tc>
        <w:tc>
          <w:tcPr>
            <w:tcW w:w="8903" w:type="dxa"/>
            <w:tcBorders/>
            <w:shd w:fill="auto" w:val="clear"/>
            <w:vAlign w:val="center"/>
          </w:tcPr>
          <w:p>
            <w:pPr>
              <w:pStyle w:val="TableHeading"/>
              <w:spacing w:before="0" w:after="0"/>
              <w:ind w:left="0" w:right="0" w:hanging="0"/>
              <w:jc w:val="center"/>
              <w:rPr/>
            </w:pPr>
            <w:r>
              <w:rPr/>
              <w:t>​</w:t>
            </w:r>
          </w:p>
        </w:tc>
      </w:tr>
      <w:tr>
        <w:trPr/>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903" w:type="dxa"/>
            <w:tcBorders/>
            <w:shd w:fill="auto" w:val="clear"/>
            <w:vAlign w:val="center"/>
          </w:tcPr>
          <w:p>
            <w:pPr>
              <w:pStyle w:val="TableContents"/>
              <w:spacing w:before="0" w:after="0"/>
              <w:ind w:left="0" w:right="0" w:hanging="0"/>
              <w:jc w:val="center"/>
              <w:rPr/>
            </w:pPr>
            <w:r>
              <w:rPr/>
              <w: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1.1 </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Amended and Restated Memorandum and Articles of Association of the Company, effective on April 13, 2023 (incorporated herein by reference to Exhibit 1.1 to the Shell Company Report on Form 20-F (File No. 001-41687) filed with the SEC on April 19,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Specimen Ordinary Share Certificate of the Company (incorporated herein by reference to Exhibit 4.1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2d2.htm">
              <w:r>
                <w:rPr>
                  <w:rStyle w:val="InternetLink"/>
                  <w:rFonts w:ascii="Times New Roman;Times;serif" w:hAnsi="Times New Roman;Times;serif"/>
                  <w:b w:val="false"/>
                  <w:i w:val="false"/>
                  <w:caps w:val="false"/>
                  <w:smallCaps w:val="false"/>
                  <w:sz w:val="20"/>
                </w:rPr>
                <w:t>Description of Securities Registered under Section 12 of the Securities Exchange Act of 1934.</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"https://www.sec.gov/Archives/edgar/data/1899123/000110465923035912/tm2135137-53_f4a.htm" \l "tANNA"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Agreement and Plan of Merger, dated as of December 15, 2021, by and among the Company, Bitdeer, Blue Safari Merge Limited, Blue Safari Merge II Limited, Bitdeer Merge Limited, BSGA and Blue Safari Mini Corp. (incorporated herein by reference to Exhibit 2.1 to Amendment No. 2 to the Registration Statement on Form F-4 (File No. 333-270345), filed with the SEC on March 23, 2023).</w:t>
            </w:r>
            <w:r>
              <w:rPr>
                <w:rStyle w:val="InternetLink"/>
                <w:smallCaps w:val="false"/>
                <w:caps w:val="false"/>
                <w:sz w:val="20"/>
                <w:i w:val="false"/>
                <w:b w:val="false"/>
                <w:rFonts w:ascii="Times New Roman;Times;serif" w:hAnsi="Times New Roman;Times;serif"/>
              </w:rPr>
              <w:fldChar w:fldCharType="end"/>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"https://www.sec.gov/Archives/edgar/data/1899123/000110465923035912/tm2135137-53_f4a.htm" \l "tANNA2"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Amended and Restated Agreement and Plan of Merger, dated as of May 30, 2022, by and among the Company, Bitdeer, Blue Safari Merge Limited, Blue Safari Merge II Limited, Bitdeer Merge Limited, BSGA and Blue Safari Mini Corp. (incorporated herein by reference to Exhibit 2.2 to Amendment No. 2 to the Registration Statement on Form F-4 (File No. 333-270345), filed with the SEC on March 23, 2023).</w:t>
            </w:r>
            <w:r>
              <w:rPr>
                <w:rStyle w:val="InternetLink"/>
                <w:smallCaps w:val="false"/>
                <w:caps w:val="false"/>
                <w:sz w:val="20"/>
                <w:i w:val="false"/>
                <w:b w:val="false"/>
                <w:rFonts w:ascii="Times New Roman;Times;serif" w:hAnsi="Times New Roman;Times;serif"/>
              </w:rPr>
              <w:fldChar w:fldCharType="end"/>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"https://www.sec.gov/Archives/edgar/data/1899123/000110465923035912/tm2135137-53_f4a.htm" \l "tANNEA5"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Second Amendment to Amended and Restated Agreement and Plan of Merger, dated as of December 2, 2022, by and among the Company, Bitdeer, Blue Safari Merge Limited, Blue Safari Merge II Limited, Bitdeer Merge Limited, BSGA and Blue Safari Mini Corp. (incorporated herein by reference to Exhibit 2.3 to Amendment No. 2 to the Registration Statement on Form F-4 (File No. 333-270345), filed with the SEC on March 23, 2023).</w:t>
            </w:r>
            <w:r>
              <w:rPr>
                <w:rStyle w:val="InternetLink"/>
                <w:smallCaps w:val="false"/>
                <w:caps w:val="false"/>
                <w:sz w:val="20"/>
                <w:i w:val="false"/>
                <w:b w:val="false"/>
                <w:rFonts w:ascii="Times New Roman;Times;serif" w:hAnsi="Times New Roman;Times;serif"/>
              </w:rPr>
              <w:fldChar w:fldCharType="end"/>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"https://www.sec.gov/Archives/edgar/data/1899123/000110465923035912/tm2135137-53_f4a.htm" \l "tAnnex4"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Third Amendment to Amended and Restated Agreement and Plan of Merger, dated as of March 7, 2023, by and among the Company, Bitdeer, Blue Safari Merge Limited, Blue Safari Merge II Limited, Bitdeer Merge Limited, BSGA and Blue Safari Mini Corp. (incorporated herein by reference to Exhibit 2.4 to Amendment No. 2 to the Registration Statement on Form F-4 (File No. 333-270345), filed with the SEC on March 23, 2023).</w:t>
            </w:r>
            <w:r>
              <w:rPr>
                <w:rStyle w:val="InternetLink"/>
                <w:smallCaps w:val="false"/>
                <w:caps w:val="false"/>
                <w:sz w:val="20"/>
                <w:i w:val="false"/>
                <w:b w:val="false"/>
                <w:rFonts w:ascii="Times New Roman;Times;serif" w:hAnsi="Times New Roman;Times;serif"/>
              </w:rPr>
              <w:fldChar w:fldCharType="end"/>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Voting and Support Agreement, dated as of December 15, 2021, by and among BSGA, Bitdeer and certain shareholder of Bitdeer (incorporated herein by reference to Exhibit 10.1 to BSGA’s Current Report on Form 8-K filed with the SEC on December 15, 2021)</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4d6.htm">
              <w:r>
                <w:rPr>
                  <w:rStyle w:val="InternetLink"/>
                  <w:rFonts w:ascii="Times New Roman;Times;serif" w:hAnsi="Times New Roman;Times;serif"/>
                  <w:b w:val="false"/>
                  <w:i w:val="false"/>
                  <w:caps w:val="false"/>
                  <w:smallCaps w:val="false"/>
                  <w:sz w:val="20"/>
                </w:rPr>
                <w:t>Bitdeer Technologies Group 2023 Share Incentive Plan, effective on April 13,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Form of Employment Agreement between the Company and its executive officers (incorporated herein by reference to Exhibit 10.3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Form of Indemnification Agreement between the Company’s and its executive officers (incorporated herein by reference to Exhibit 10.4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Lease Agreement, dated as of June 6, 2018, between Alcoa USA Corp. and Dory Creek, LLC (incorporated herein by reference to Exhibit 10.5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First Amendment to the Lease Agreement, dated as of October 18, 2018, between Alcoa USA Corp. and Bitdeer Inc. (formerly known as Bitmain Inc.) (incorporated herein by reference to Exhibit 10.6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Second Amendment to the Lease Agreement, dated as of May 1, 2019, between Alcoa USA Corp. and Dory Creek, LLC (incorporated herein by reference to Exhibit 10.7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4.12#</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Third Amendment to the Lease Agreement, dated as of May 1, 2019, between Alcoa USA Corp. and Dory Creek, LLC (incorporated herein by reference to Exhibit 10.8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4.13#</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Fourth Amendment to the Lease Agreement, dated as of May 11, 2021, between Alcoa USA Corp. and Dory Creek, LLC (incorporated herein by reference to Exhibit 10.9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Fifth Amendment to the Lease Agreement, dated as of August 30, 2021, between Alcoa USA Corp. and Dory Creek, LLC (incorporated herein by reference to Exhibit 10.10 to Amendment No. 2 to the Registration Statement on Form F-4 (File No. 333-270345), filed with the SEC on March 23, 2023).</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76"/>
        <w:gridCol w:w="326"/>
        <w:gridCol w:w="8903"/>
      </w:tblGrid>
      <w:tr>
        <w:trPr/>
        <w:tc>
          <w:tcPr>
            <w:tcW w:w="976"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90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53405" cy="29210"/>
                      <wp:effectExtent l="0" t="0" r="0" b="0"/>
                      <wp:wrapNone/>
                      <wp:docPr id="137" name="Frame136"/>
                      <a:graphic xmlns:a="http://schemas.openxmlformats.org/drawingml/2006/main">
                        <a:graphicData uri="http://schemas.microsoft.com/office/word/2010/wordprocessingShape">
                          <wps:wsp>
                            <wps:cNvSpPr txBox="1"/>
                            <wps:spPr>
                              <a:xfrm>
                                <a:off x="0" y="0"/>
                                <a:ext cx="56534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15pt;height:2.3pt;mso-wrap-distance-left:0pt;mso-wrap-distance-right:0pt;mso-wrap-distance-top:0pt;mso-wrap-distance-bottom:0pt;margin-top:0pt;mso-position-vertical:top;mso-position-vertical-relative:text;margin-left:-222.6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7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shd w:fill="auto" w:val="clear"/>
            <w:vAlign w:val="center"/>
          </w:tcPr>
          <w:p>
            <w:pPr>
              <w:pStyle w:val="TableHeading"/>
              <w:spacing w:before="0" w:after="0"/>
              <w:ind w:left="0" w:right="0" w:hanging="0"/>
              <w:jc w:val="center"/>
              <w:rPr/>
            </w:pPr>
            <w:r>
              <w:rPr/>
              <w:t>    </w:t>
            </w:r>
          </w:p>
        </w:tc>
        <w:tc>
          <w:tcPr>
            <w:tcW w:w="890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7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center"/>
              <w:rPr/>
            </w:pPr>
            <w:r>
              <w:rPr/>
              <w:t>​</w:t>
            </w:r>
          </w:p>
        </w:tc>
        <w:tc>
          <w:tcPr>
            <w:tcW w:w="8903" w:type="dxa"/>
            <w:tcBorders/>
            <w:shd w:fill="auto" w:val="clear"/>
            <w:vAlign w:val="center"/>
          </w:tcPr>
          <w:p>
            <w:pPr>
              <w:pStyle w:val="TableHeading"/>
              <w:spacing w:before="0" w:after="0"/>
              <w:ind w:left="0" w:right="0" w:hanging="0"/>
              <w:jc w:val="center"/>
              <w:rPr/>
            </w:pPr>
            <w:r>
              <w:rPr/>
              <w: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Sixth Amendment to the Lease Agreement, dated as of October 25, 2021, between Alcoa USA Corp. and Dory Creek, LLC (incorporated herein by reference to Exhibit 10.11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Seventh Amendment to the Lease Agreement, dated as of October 1, 2022, between SLR Property I, LP and Dory Creek, LLP (incorporated herein by reference to Exhibit 4.16 to the Shell Company Report on Form 20-F (File No. 001-41687) filed with the SEC on April 19,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4.17#</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Land Lease Agreement, dated as of November 15, 2019, between Norway Hash Technologies AS and Troll Housing AS (incorporated herein by reference to Exhibit 10.12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4.18#</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Addendum No. 1 to the Land Lease Agreement, dated as of December 6, 2020, between Norway Hash Technologies AD and Troll Housing AS (incorporated herein by reference to Exhibit 10.13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4.19#</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Addendum No. 2 to the Land Lease Agreement, dated as of March 22, 2021, between Norway Hash Technologies AD and Troll Housing AS (incorporated herein by reference to Exhibit 10.14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4.20#</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Addendum No. 3 to the Land Lease Agreement, dated as of March 22, 2021, between Norway Hash Technologies AD and Troll Housing AS (incorporated herein by reference to Exhibit 10.15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Land Lease Agreement, dated as of April 8, 2021, between Norway Hash Technologies AS and Tydal Data Center AS (incorporated herein by reference to Exhibit 10.16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4.22#</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Commercial Purchase and Sale Agreement, dated as of February 26, 2018, between Bitmain Inc. and Kemet Foil Manufacturing LLC (FKA Cornell Dublilier, Foil, LLC) (incorporated herein by reference to Exhibit 10.17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4.23#</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Indenture, dated as of March 20, 2018, between Bitmain Inc. and Carpenter Creek, LLC (incorporated herein by reference to Exhibit 10.18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4.24#</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Vacant Land Purchase and Sale Agreement, dated as of August 3, 2017, between Blackhawk Development Inc and Ant Creek, LLC (incorporated herein by reference to Exhibit 10.19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4.25#</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English translation of Custody Agreement, dated as of February 10, 2021, between Sharpening Technology Limited, Bitdeer Sales (USA) Inc, Carpenter Creek LLC and Matrix Guard Limited (incorporated herein by reference to Exhibit 10.20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4.26#</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5">
              <w:r>
                <w:rPr>
                  <w:rStyle w:val="InternetLink"/>
                  <w:rFonts w:ascii="Times New Roman;Times;serif" w:hAnsi="Times New Roman;Times;serif"/>
                  <w:b w:val="false"/>
                  <w:i w:val="false"/>
                  <w:caps w:val="false"/>
                  <w:smallCaps w:val="false"/>
                  <w:sz w:val="20"/>
                </w:rPr>
                <w:t>Custody Agreement, dated as of February 10, 2021, between Bitdeer Technologies Limited, Straitdeer Pte. Ltd. and Matrix Trust Company (incorporated herein by reference to Exhibit 10.21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6">
              <w:r>
                <w:rPr>
                  <w:rStyle w:val="InternetLink"/>
                  <w:rFonts w:ascii="Times New Roman;Times;serif" w:hAnsi="Times New Roman;Times;serif"/>
                  <w:b w:val="false"/>
                  <w:i w:val="false"/>
                  <w:caps w:val="false"/>
                  <w:smallCaps w:val="false"/>
                  <w:sz w:val="20"/>
                </w:rPr>
                <w:t>List of significant subsidiaries of the Company (incorporated herein by reference to Exhibit 21.1 to Amendment No. 2 to the Registration Statement on Form F-4 (File No. 333-270345), filed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7">
              <w:r>
                <w:rPr>
                  <w:rStyle w:val="InternetLink"/>
                  <w:rFonts w:ascii="Times New Roman;Times;serif" w:hAnsi="Times New Roman;Times;serif"/>
                  <w:b w:val="false"/>
                  <w:i w:val="false"/>
                  <w:caps w:val="false"/>
                  <w:smallCaps w:val="false"/>
                  <w:sz w:val="20"/>
                </w:rPr>
                <w:t>Code of Business Conduct and Ethics of the Company (incorporated herein by reference to Exhibit 99.2 to Amendment No. 2 to the Registration Statement on Form F-4 (File No. 333-270345), field with the SEC on March 23,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12d1.htm">
              <w:r>
                <w:rPr>
                  <w:rStyle w:val="InternetLink"/>
                  <w:rFonts w:ascii="Times New Roman;Times;serif" w:hAnsi="Times New Roman;Times;serif"/>
                  <w:b w:val="false"/>
                  <w:i w:val="false"/>
                  <w:caps w:val="false"/>
                  <w:smallCaps w:val="false"/>
                  <w:sz w:val="20"/>
                </w:rPr>
                <w:t>Certification of our Chief Executive Officer pursuant to Section 302 of the Sarbanes-Oxley Act of 2002</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12d2.htm">
              <w:r>
                <w:rPr>
                  <w:rStyle w:val="InternetLink"/>
                  <w:rFonts w:ascii="Times New Roman;Times;serif" w:hAnsi="Times New Roman;Times;serif"/>
                  <w:b w:val="false"/>
                  <w:i w:val="false"/>
                  <w:caps w:val="false"/>
                  <w:smallCaps w:val="false"/>
                  <w:sz w:val="20"/>
                </w:rPr>
                <w:t>Certification of our Chief Financial Officer pursuant to Section 302 of the Sarbanes-Oxley Act of 2002</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13.1**</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13d1.htm">
              <w:r>
                <w:rPr>
                  <w:rStyle w:val="InternetLink"/>
                  <w:rFonts w:ascii="Times New Roman;Times;serif" w:hAnsi="Times New Roman;Times;serif"/>
                  <w:b w:val="false"/>
                  <w:i w:val="false"/>
                  <w:caps w:val="false"/>
                  <w:smallCaps w:val="false"/>
                  <w:sz w:val="20"/>
                </w:rPr>
                <w:t>Certification of our Chief Executive Officer pursuant to 18 U.S.C. Section 1350 as adopted pursuant to Section 906 of the Sarbanes-Oxley Act of 2002</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13d2.htm">
              <w:r>
                <w:rPr>
                  <w:rStyle w:val="InternetLink"/>
                  <w:rFonts w:ascii="Times New Roman;Times;serif" w:hAnsi="Times New Roman;Times;serif"/>
                  <w:b w:val="false"/>
                  <w:i w:val="false"/>
                  <w:caps w:val="false"/>
                  <w:smallCaps w:val="false"/>
                  <w:sz w:val="20"/>
                </w:rPr>
                <w:t>Certification of our Chief Financial Officer pursuant to 18 U.S.C Section 1350 as adopted pursuant to Section 906 of the Sarbanes-Oxley Act of 2002</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15.1 </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r:id="rId28">
              <w:r>
                <w:rPr>
                  <w:rStyle w:val="InternetLink"/>
                  <w:rFonts w:ascii="Times New Roman;Times;serif" w:hAnsi="Times New Roman;Times;serif"/>
                  <w:b w:val="false"/>
                  <w:i w:val="false"/>
                  <w:caps w:val="false"/>
                  <w:smallCaps w:val="false"/>
                  <w:sz w:val="20"/>
                </w:rPr>
                <w:t>Unaudited Pro Forma Condensed Combined Financial Information of Bitdeer and BSGA (incorporated herein by reference to Exhibit 15.1 to the Shell Company Report on Form 20-F (File No. 001-41687) filed with the SEC on April 19, 2023)</w:t>
              </w:r>
            </w:hyperlink>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15.2* </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pPr>
            <w:hyperlink w:anchor="btdr-20221231xex15d2.htm">
              <w:r>
                <w:rPr>
                  <w:rStyle w:val="InternetLink"/>
                  <w:rFonts w:ascii="Times New Roman;Times;serif" w:hAnsi="Times New Roman;Times;serif"/>
                  <w:b w:val="false"/>
                  <w:i w:val="false"/>
                  <w:caps w:val="false"/>
                  <w:smallCaps w:val="false"/>
                  <w:sz w:val="20"/>
                </w:rPr>
                <w:t>Consent of Marcum LLP</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76"/>
        <w:gridCol w:w="326"/>
        <w:gridCol w:w="8903"/>
      </w:tblGrid>
      <w:tr>
        <w:trPr/>
        <w:tc>
          <w:tcPr>
            <w:tcW w:w="976"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903"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53405" cy="29210"/>
                      <wp:effectExtent l="0" t="0" r="0" b="0"/>
                      <wp:wrapNone/>
                      <wp:docPr id="138" name="Frame137"/>
                      <a:graphic xmlns:a="http://schemas.openxmlformats.org/drawingml/2006/main">
                        <a:graphicData uri="http://schemas.microsoft.com/office/word/2010/wordprocessingShape">
                          <wps:wsp>
                            <wps:cNvSpPr txBox="1"/>
                            <wps:spPr>
                              <a:xfrm>
                                <a:off x="0" y="0"/>
                                <a:ext cx="56534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15pt;height:2.3pt;mso-wrap-distance-left:0pt;mso-wrap-distance-right:0pt;mso-wrap-distance-top:0pt;mso-wrap-distance-bottom:0pt;margin-top:0pt;mso-position-vertical:top;mso-position-vertical-relative:text;margin-left:-222.6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7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shd w:fill="auto" w:val="clear"/>
            <w:vAlign w:val="center"/>
          </w:tcPr>
          <w:p>
            <w:pPr>
              <w:pStyle w:val="TableHeading"/>
              <w:spacing w:before="0" w:after="0"/>
              <w:ind w:left="0" w:right="0" w:hanging="0"/>
              <w:jc w:val="center"/>
              <w:rPr/>
            </w:pPr>
            <w:r>
              <w:rPr/>
              <w:t>    </w:t>
            </w:r>
          </w:p>
        </w:tc>
        <w:tc>
          <w:tcPr>
            <w:tcW w:w="890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7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center"/>
              <w:rPr/>
            </w:pPr>
            <w:r>
              <w:rPr/>
              <w:t>​</w:t>
            </w:r>
          </w:p>
        </w:tc>
        <w:tc>
          <w:tcPr>
            <w:tcW w:w="8903" w:type="dxa"/>
            <w:tcBorders/>
            <w:shd w:fill="auto" w:val="clear"/>
            <w:vAlign w:val="center"/>
          </w:tcPr>
          <w:p>
            <w:pPr>
              <w:pStyle w:val="TableHeading"/>
              <w:spacing w:before="0" w:after="0"/>
              <w:ind w:left="0" w:right="0" w:hanging="0"/>
              <w:jc w:val="center"/>
              <w:rPr/>
            </w:pPr>
            <w:r>
              <w:rPr/>
              <w: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8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Exhibit 101 Inline XBRL document set</w:t>
            </w:r>
          </w:p>
        </w:tc>
      </w:tr>
    </w:tbl>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CellMar>
          <w:top w:w="0" w:type="dxa"/>
          <w:left w:w="0" w:type="dxa"/>
          <w:bottom w:w="0" w:type="dxa"/>
          <w:right w:w="0" w:type="dxa"/>
        </w:tblCellMar>
      </w:tblPr>
      <w:tblGrid>
        <w:gridCol w:w="331"/>
        <w:gridCol w:w="1756"/>
      </w:tblGrid>
      <w:tr>
        <w:trPr/>
        <w:tc>
          <w:tcPr>
            <w:tcW w:w="33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175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Furnished herewith.</w:t>
            </w:r>
          </w:p>
        </w:tc>
      </w:tr>
    </w:tbl>
    <w:tbl>
      <w:tblPr>
        <w:tblW w:w="7247" w:type="dxa"/>
        <w:jc w:val="left"/>
        <w:tblInd w:w="0" w:type="dxa"/>
        <w:tblCellMar>
          <w:top w:w="0" w:type="dxa"/>
          <w:left w:w="0" w:type="dxa"/>
          <w:bottom w:w="0" w:type="dxa"/>
          <w:right w:w="0" w:type="dxa"/>
        </w:tblCellMar>
      </w:tblPr>
      <w:tblGrid>
        <w:gridCol w:w="241"/>
        <w:gridCol w:w="7006"/>
      </w:tblGrid>
      <w:tr>
        <w:trPr/>
        <w:tc>
          <w:tcPr>
            <w:tcW w:w="241" w:type="dxa"/>
            <w:tcBorders/>
            <w:shd w:fill="auto" w:val="clear"/>
            <w:vAlign w:val="center"/>
          </w:tcPr>
          <w:p>
            <w:pPr>
              <w:pStyle w:val="TableContents"/>
              <w:spacing w:before="0" w:after="240"/>
              <w:rPr/>
            </w:pPr>
            <w:r>
              <w:rPr/>
              <w:t>†</w:t>
            </w:r>
          </w:p>
        </w:tc>
        <w:tc>
          <w:tcPr>
            <w:tcW w:w="700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Indicates a management contract or any compensatory plan, contract or arrangement.</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Portions of this exhibit have been omitted pursuant to Item 601(b)(10)(iv) of Regulation S-K on the basis that the Company customarily and actually treats that information as private or confidential and the omitted information is not material.</w:t>
            </w:r>
          </w:p>
        </w:tc>
      </w:tr>
    </w:tbl>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center"/>
        <w:rPr>
          <w:rFonts w:ascii="Times New Roman;Times;serif" w:hAnsi="Times New Roman;Times;serif"/>
          <w:b/>
          <w:sz w:val="20"/>
        </w:rPr>
      </w:pPr>
      <w:bookmarkStart w:id="107" w:name="SIGNATURE_650523"/>
      <w:bookmarkStart w:id="108" w:name="_3dbf4ced_fbc0_4302_af14_9bcf222f9b1f"/>
      <w:bookmarkEnd w:id="107"/>
      <w:bookmarkEnd w:id="108"/>
      <w:r>
        <w:rPr>
          <w:rFonts w:ascii="Times New Roman;Times;serif" w:hAnsi="Times New Roman;Times;serif"/>
          <w:b/>
          <w:sz w:val="20"/>
        </w:rPr>
        <w:t>SIGNATURE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spacing w:before="0" w:after="0"/>
        <w:ind w:left="0" w:right="0" w:hanging="0"/>
        <w:rPr/>
      </w:pPr>
      <w:r>
        <w:rPr/>
        <w:t>​</w:t>
      </w:r>
    </w:p>
    <w:tbl>
      <w:tblPr>
        <w:tblW w:w="5479" w:type="dxa"/>
        <w:jc w:val="left"/>
        <w:tblInd w:w="0" w:type="dxa"/>
        <w:tblCellMar>
          <w:top w:w="0" w:type="dxa"/>
          <w:left w:w="0" w:type="dxa"/>
          <w:bottom w:w="0" w:type="dxa"/>
          <w:right w:w="0" w:type="dxa"/>
        </w:tblCellMar>
      </w:tblPr>
      <w:tblGrid>
        <w:gridCol w:w="1306"/>
        <w:gridCol w:w="451"/>
        <w:gridCol w:w="676"/>
        <w:gridCol w:w="3046"/>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829310" cy="175260"/>
                      <wp:effectExtent l="0" t="0" r="0" b="0"/>
                      <wp:wrapNone/>
                      <wp:docPr id="139" name="Frame138"/>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86385" cy="175260"/>
                      <wp:effectExtent l="0" t="0" r="0" b="0"/>
                      <wp:wrapNone/>
                      <wp:docPr id="140" name="Frame139"/>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22"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63470" cy="175260"/>
                      <wp:effectExtent l="0" t="0" r="0" b="0"/>
                      <wp:wrapNone/>
                      <wp:docPr id="141" name="Frame140"/>
                      <a:graphic xmlns:a="http://schemas.openxmlformats.org/drawingml/2006/main">
                        <a:graphicData uri="http://schemas.microsoft.com/office/word/2010/wordprocessingShape">
                          <wps:wsp>
                            <wps:cNvSpPr txBox="1"/>
                            <wps:spPr>
                              <a:xfrm>
                                <a:off x="0" y="0"/>
                                <a:ext cx="2363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pBdr/>
              <w:spacing w:before="0" w:after="0"/>
              <w:ind w:left="0" w:right="0" w:hanging="0"/>
              <w:rPr/>
            </w:pPr>
            <w:r>
              <w:rPr/>
              <w:t>​</w:t>
            </w:r>
          </w:p>
        </w:tc>
        <w:tc>
          <w:tcPr>
            <w:tcW w:w="4173" w:type="dxa"/>
            <w:gridSpan w:val="3"/>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Bitdeer Technologies Group</w:t>
            </w:r>
          </w:p>
        </w:tc>
      </w:tr>
      <w:tr>
        <w:trPr/>
        <w:tc>
          <w:tcPr>
            <w:tcW w:w="130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3722" w:type="dxa"/>
            <w:gridSpan w:val="2"/>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28, 2023</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By: </w:t>
            </w:r>
          </w:p>
        </w:tc>
        <w:tc>
          <w:tcPr>
            <w:tcW w:w="372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Jihan Wu</w:t>
            </w:r>
          </w:p>
        </w:tc>
      </w:tr>
      <w:tr>
        <w:trPr/>
        <w:tc>
          <w:tcPr>
            <w:tcW w:w="1306" w:type="dxa"/>
            <w:tcBorders/>
            <w:shd w:fill="auto" w:val="clear"/>
            <w:vAlign w:val="center"/>
          </w:tcPr>
          <w:p>
            <w:pPr>
              <w:pStyle w:val="TableContents"/>
              <w:pBdr/>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6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Name: </w:t>
            </w:r>
          </w:p>
        </w:tc>
        <w:tc>
          <w:tcPr>
            <w:tcW w:w="30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Jihan Wu</w:t>
            </w:r>
          </w:p>
        </w:tc>
      </w:tr>
      <w:tr>
        <w:trPr/>
        <w:tc>
          <w:tcPr>
            <w:tcW w:w="1306" w:type="dxa"/>
            <w:tcBorders/>
            <w:shd w:fill="auto" w:val="clear"/>
            <w:vAlign w:val="center"/>
          </w:tcPr>
          <w:p>
            <w:pPr>
              <w:pStyle w:val="TableContents"/>
              <w:pBdr/>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 and Chairman of the Board</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09" w:name="_d47ca811_6026_4822_b1ff_0417e0ae1ce1"/>
      <w:bookmarkEnd w:id="109"/>
      <w:r>
        <w:rPr>
          <w:rFonts w:ascii="Times New Roman;Times;serif" w:hAnsi="Times New Roman;Times;serif"/>
          <w:b/>
          <w:sz w:val="20"/>
        </w:rPr>
        <w:t>INDEX TO FINANCIAL STATEMENTS</w:t>
      </w:r>
    </w:p>
    <w:tbl>
      <w:tblPr>
        <w:tblW w:w="10205" w:type="dxa"/>
        <w:jc w:val="left"/>
        <w:tblInd w:w="0" w:type="dxa"/>
        <w:tblCellMar>
          <w:top w:w="0" w:type="dxa"/>
          <w:left w:w="0" w:type="dxa"/>
          <w:bottom w:w="0" w:type="dxa"/>
          <w:right w:w="0" w:type="dxa"/>
        </w:tblCellMar>
      </w:tblPr>
      <w:tblGrid>
        <w:gridCol w:w="9308"/>
        <w:gridCol w:w="326"/>
        <w:gridCol w:w="571"/>
      </w:tblGrid>
      <w:tr>
        <w:trPr/>
        <w:tc>
          <w:tcPr>
            <w:tcW w:w="930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Consolidated Financial Statements as of December 31, 2021 and 2022 and for each of the Three Years in the Period Ended December 31, 2022</w:t>
            </w:r>
          </w:p>
        </w:tc>
        <w:tc>
          <w:tcPr>
            <w:tcW w:w="32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206)</w:t>
            </w:r>
          </w:p>
        </w:tc>
        <w:tc>
          <w:tcPr>
            <w:tcW w:w="326" w:type="dxa"/>
            <w:tcBorders/>
            <w:shd w:fill="auto" w:val="clear"/>
            <w:vAlign w:val="center"/>
          </w:tcPr>
          <w:p>
            <w:pPr>
              <w:pStyle w:val="TableContents"/>
              <w:spacing w:before="0" w:after="24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308" w:type="dxa"/>
            <w:tcBorders/>
            <w:shd w:fill="auto" w:val="clear"/>
            <w:vAlign w:val="center"/>
          </w:tcPr>
          <w:p>
            <w:pPr>
              <w:pStyle w:val="TableContents"/>
              <w:spacing w:before="0" w:after="0"/>
              <w:ind w:left="0" w:right="0" w:hanging="0"/>
              <w:rPr/>
            </w:pPr>
            <w:hyperlink w:anchor="CONSOLIDATEDSTATEMENTSOFFINANCIALPOSITIO">
              <w:r>
                <w:rPr>
                  <w:rStyle w:val="InternetLink"/>
                  <w:rFonts w:ascii="Times New Roman;Times;serif" w:hAnsi="Times New Roman;Times;serif"/>
                  <w:b w:val="false"/>
                  <w:i w:val="false"/>
                  <w:caps w:val="false"/>
                  <w:smallCaps w:val="false"/>
                  <w:sz w:val="20"/>
                </w:rPr>
                <w:t>Consolidated Statements of Financial Position</w:t>
              </w:r>
            </w:hyperlink>
          </w:p>
        </w:tc>
        <w:tc>
          <w:tcPr>
            <w:tcW w:w="326" w:type="dxa"/>
            <w:tcBorders/>
            <w:shd w:fill="auto" w:val="clear"/>
            <w:vAlign w:val="center"/>
          </w:tcPr>
          <w:p>
            <w:pPr>
              <w:pStyle w:val="TableContents"/>
              <w:spacing w:before="0" w:after="24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308" w:type="dxa"/>
            <w:tcBorders/>
            <w:shd w:fill="auto" w:val="clear"/>
            <w:vAlign w:val="center"/>
          </w:tcPr>
          <w:p>
            <w:pPr>
              <w:pStyle w:val="TableContents"/>
              <w:spacing w:before="0" w:after="0"/>
              <w:ind w:left="0" w:right="0" w:hanging="0"/>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Income / (Loss)</w:t>
              </w:r>
            </w:hyperlink>
          </w:p>
        </w:tc>
        <w:tc>
          <w:tcPr>
            <w:tcW w:w="326" w:type="dxa"/>
            <w:tcBorders/>
            <w:shd w:fill="auto" w:val="clear"/>
            <w:vAlign w:val="center"/>
          </w:tcPr>
          <w:p>
            <w:pPr>
              <w:pStyle w:val="TableContents"/>
              <w:spacing w:before="0" w:after="24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308" w:type="dxa"/>
            <w:tcBorders/>
            <w:shd w:fill="auto" w:val="clear"/>
            <w:vAlign w:val="center"/>
          </w:tcPr>
          <w:p>
            <w:pPr>
              <w:pStyle w:val="TableContents"/>
              <w:spacing w:before="0" w:after="0"/>
              <w:ind w:left="0" w:right="0" w:hanging="0"/>
              <w:rPr/>
            </w:pPr>
            <w:hyperlink w:anchor="CONSOLIDATEDSTATEMENTSOFCHANGESININVESTE">
              <w:r>
                <w:rPr>
                  <w:rStyle w:val="InternetLink"/>
                  <w:rFonts w:ascii="Times New Roman;Times;serif" w:hAnsi="Times New Roman;Times;serif"/>
                  <w:b w:val="false"/>
                  <w:i w:val="false"/>
                  <w:caps w:val="false"/>
                  <w:smallCaps w:val="false"/>
                  <w:sz w:val="20"/>
                </w:rPr>
                <w:t>Consolidated Statements of Changes in Equity</w:t>
              </w:r>
            </w:hyperlink>
          </w:p>
        </w:tc>
        <w:tc>
          <w:tcPr>
            <w:tcW w:w="326" w:type="dxa"/>
            <w:tcBorders/>
            <w:shd w:fill="auto" w:val="clear"/>
            <w:vAlign w:val="center"/>
          </w:tcPr>
          <w:p>
            <w:pPr>
              <w:pStyle w:val="TableContents"/>
              <w:spacing w:before="0" w:after="24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308" w:type="dxa"/>
            <w:tcBorders/>
            <w:shd w:fill="auto" w:val="clear"/>
            <w:vAlign w:val="center"/>
          </w:tcPr>
          <w:p>
            <w:pPr>
              <w:pStyle w:val="TableContents"/>
              <w:spacing w:before="0" w:after="0"/>
              <w:ind w:left="0" w:right="0" w:hanging="0"/>
              <w:rPr/>
            </w:pPr>
            <w:hyperlink w:anchor="CONSOLIDATEDSTATEMENTSOFCASHFLOWS_796474">
              <w:r>
                <w:rPr>
                  <w:rStyle w:val="InternetLink"/>
                  <w:rFonts w:ascii="Times New Roman;Times;serif" w:hAnsi="Times New Roman;Times;serif"/>
                  <w:b w:val="false"/>
                  <w:i w:val="false"/>
                  <w:caps w:val="false"/>
                  <w:smallCaps w:val="false"/>
                  <w:sz w:val="20"/>
                </w:rPr>
                <w:t>Consolidated Statements of Cash Flows</w:t>
              </w:r>
            </w:hyperlink>
          </w:p>
        </w:tc>
        <w:tc>
          <w:tcPr>
            <w:tcW w:w="326" w:type="dxa"/>
            <w:tcBorders/>
            <w:shd w:fill="auto" w:val="clear"/>
            <w:vAlign w:val="center"/>
          </w:tcPr>
          <w:p>
            <w:pPr>
              <w:pStyle w:val="TableContents"/>
              <w:spacing w:before="0" w:after="24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308" w:type="dxa"/>
            <w:tcBorders/>
            <w:shd w:fill="auto" w:val="clear"/>
            <w:vAlign w:val="center"/>
          </w:tcPr>
          <w:p>
            <w:pPr>
              <w:pStyle w:val="TableContents"/>
              <w:spacing w:before="0" w:after="0"/>
              <w:ind w:left="0" w:right="0" w:hanging="0"/>
              <w:rPr/>
            </w:pPr>
            <w:hyperlink w:anchor="a1ORGANIZATION_301351">
              <w:r>
                <w:rPr>
                  <w:rStyle w:val="InternetLink"/>
                  <w:rFonts w:ascii="Times New Roman;Times;serif" w:hAnsi="Times New Roman;Times;serif"/>
                  <w:b w:val="false"/>
                  <w:i w:val="false"/>
                  <w:caps w:val="false"/>
                  <w:smallCaps w:val="false"/>
                  <w:sz w:val="20"/>
                </w:rPr>
                <w:t>Notes to the Consolidated Financial Statements</w:t>
              </w:r>
            </w:hyperlink>
          </w:p>
        </w:tc>
        <w:tc>
          <w:tcPr>
            <w:tcW w:w="326" w:type="dxa"/>
            <w:tcBorders/>
            <w:shd w:fill="auto" w:val="clear"/>
            <w:vAlign w:val="center"/>
          </w:tcPr>
          <w:p>
            <w:pPr>
              <w:pStyle w:val="TableContents"/>
              <w:spacing w:before="0" w:after="24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10" w:name="REPORTOFINDEPENDENTREGISTEREDPUBLICACCOU"/>
      <w:bookmarkStart w:id="111" w:name="_f062b99b_b9b5_489a_87c3_323e145c0e3e"/>
      <w:bookmarkEnd w:id="110"/>
      <w:bookmarkEnd w:id="111"/>
      <w:r>
        <w:rPr>
          <w:rFonts w:ascii="Times New Roman;Times;serif" w:hAnsi="Times New Roman;Times;serif"/>
          <w:b/>
          <w:sz w:val="20"/>
        </w:rPr>
        <w:t>REPORT OF INDEPENDENT REGISTERED PUBLIC ACCOUNTING FIRM</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Bitdeer Technologies Holding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statements of financial position of Bitdeer Technologies Holding Company and its subsidiaries (the “Company”) as of December 31, 2022 and 2021, and the related consolidated statements of operations and comprehensive income / (loss),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as issued by the International Accounting Standards Board.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Restatement of the 2021 and 2020 Financial Statement</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discussed in Note 2(a) to the financial statements, the accompanying consolidated statements of operation and comprehensive income / (loss) and cash flows for the years ended December 31, 2021 and 2020 have been restated to correct certain misstatements.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Basis for Opinion</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 MaloneBailey,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www.malonebailey.com</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Houston, Texas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19,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12" w:name="_015e4307_874c_4c81_a122_2ca3e2a75751"/>
      <w:bookmarkEnd w:id="112"/>
      <w:r>
        <w:rPr>
          <w:rFonts w:ascii="Times New Roman;Times;serif" w:hAnsi="Times New Roman;Times;serif"/>
          <w:b/>
          <w:sz w:val="20"/>
        </w:rPr>
        <w:t>BITDEER TECHNOLOGIES HOLDING COMPANY AND SUBSIDIARIES</w:t>
      </w:r>
    </w:p>
    <w:p>
      <w:pPr>
        <w:pStyle w:val="TextBody"/>
        <w:spacing w:before="0" w:after="0"/>
        <w:ind w:left="0" w:right="0" w:hanging="0"/>
        <w:jc w:val="center"/>
        <w:rPr>
          <w:rFonts w:ascii="Times New Roman;Times;serif" w:hAnsi="Times New Roman;Times;serif"/>
          <w:b/>
          <w:sz w:val="20"/>
        </w:rPr>
      </w:pPr>
      <w:bookmarkStart w:id="113" w:name="CONSOLIDATEDSTATEMENTSOFFINANCIALPOSITIO"/>
      <w:bookmarkEnd w:id="113"/>
      <w:r>
        <w:rPr>
          <w:rFonts w:ascii="Times New Roman;Times;serif" w:hAnsi="Times New Roman;Times;serif"/>
          <w:b/>
          <w:sz w:val="20"/>
        </w:rPr>
        <w:t>CONSOLIDATED STATEMENTS OF FINANCIAL POSITION</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tables are stated in thousands of U.S. Dollar)</w:t>
      </w:r>
    </w:p>
    <w:p>
      <w:pPr>
        <w:pStyle w:val="Normal"/>
        <w:spacing w:before="0" w:after="0"/>
        <w:rPr>
          <w:sz w:val="4"/>
          <w:szCs w:val="4"/>
        </w:rPr>
      </w:pPr>
      <w:r>
        <w:rPr>
          <w:sz w:val="4"/>
          <w:szCs w:val="4"/>
        </w:rPr>
      </w:r>
      <w:bookmarkStart w:id="114" w:name="Tc_cc-EjR3BTk-2uAF2lekMVw_32_0"/>
      <w:bookmarkStart w:id="115" w:name="Tc_hWygY3XsD02A4Zb97ONivQ_31_2"/>
      <w:bookmarkStart w:id="116" w:name="Tc_sO49zpKUCEeJAwVoouRpYw_31_0"/>
      <w:bookmarkStart w:id="117" w:name="Tc_gniHVVv3lUSCHe1yZDEQDg_30_2"/>
      <w:bookmarkStart w:id="118" w:name="Tc_IDFa5pIgiUWbuFsy-wdIlg_30_0"/>
      <w:bookmarkStart w:id="119" w:name="Tc_svC4tltZg0GUiAh3DKXkBg_29_2"/>
      <w:bookmarkStart w:id="120" w:name="Tc_G4zMjIdpV0OTlaiBm0EBNQ_29_0"/>
      <w:bookmarkStart w:id="121" w:name="Tc_8kjqx0y8f0y4RywjTL9EJA_28_0"/>
      <w:bookmarkStart w:id="122" w:name="Tc_6aMOSx-Fck-gcPr4qa1wcA_27_0"/>
      <w:bookmarkStart w:id="123" w:name="Tc_wuFPwn6140OZX-yTJ39Deg_26_0"/>
      <w:bookmarkStart w:id="124" w:name="Tc_qec4NUwk_0OewkhN3bDhbQ_25_2"/>
      <w:bookmarkStart w:id="125" w:name="Tc_k6i4N0JrBUmxPDaNmoV9mA_25_0"/>
      <w:bookmarkStart w:id="126" w:name="Tc_dIqsVmBLUEytT4pBkiVLaQ_24_2"/>
      <w:bookmarkStart w:id="127" w:name="Tc_WDaneHrlAEmADF4vKi924w_24_0"/>
      <w:bookmarkStart w:id="128" w:name="Tc_k2Kobg3ErEW9fSl_MJhsyQ_23_2"/>
      <w:bookmarkStart w:id="129" w:name="Tc_WzwxCNnaaUWxjLVHyI75Og_23_0"/>
      <w:bookmarkStart w:id="130" w:name="Tc_Z4k0bBLu6UOPTOCqv-3r2w_22_0"/>
      <w:bookmarkStart w:id="131" w:name="Tc_jsd5LkSCsUmKQf2ORktghw_21_0"/>
      <w:bookmarkStart w:id="132" w:name="Tc_N5m68hbyiUiU84aJIq2F5w_20_2"/>
      <w:bookmarkStart w:id="133" w:name="Tc_sTmQ-Ci4tkqTIZtl-ZBfVQ_20_0"/>
      <w:bookmarkStart w:id="134" w:name="Tc_rpKbOw8hV0-F7nHtHWNlLQ_19_2"/>
      <w:bookmarkStart w:id="135" w:name="Tc_jPl71UPEt0qd0PxzdxFnEQ_19_0"/>
      <w:bookmarkStart w:id="136" w:name="Tc_QVSHxR7Gp02AkQtggfvOTQ_18_0"/>
      <w:bookmarkStart w:id="137" w:name="Tc_nwHPtnF1W0SJ46j1xSa6-Q_17_0"/>
      <w:bookmarkStart w:id="138" w:name="Tc__Rc2iWWhXUiGoGY9FryHww_16_0"/>
      <w:bookmarkStart w:id="139" w:name="Tc_uGMAwcI-2E6yeQtZu-XdHw_15_2"/>
      <w:bookmarkStart w:id="140" w:name="Tc_kVrt68fm5UOEDJm9mWgCag_15_0"/>
      <w:bookmarkStart w:id="141" w:name="Tc_9k0i2UekTESkRqpKtTTYsA_14_0"/>
      <w:bookmarkStart w:id="142" w:name="Tc_-QV9_F6p1kOT_9wwQ94O2w_13_4"/>
      <w:bookmarkStart w:id="143" w:name="Tc_v3G52Qll3kecmWcH7nl9DQ_13_2"/>
      <w:bookmarkStart w:id="144" w:name="Tc_yjL62esoU0Gb0UOQ0h0sKA_13_0"/>
      <w:bookmarkStart w:id="145" w:name="Tc_smepOKUxLEi-KRONZaVQjQ_12_2"/>
      <w:bookmarkStart w:id="146" w:name="Tc_VGDurSJAGkSnWMKjxe2YwA_12_0"/>
      <w:bookmarkStart w:id="147" w:name="Tc_4b2yfe9ZuEejYqEFUkuJLA_11_2"/>
      <w:bookmarkStart w:id="148" w:name="Tc_Rf5_8sxSfUeCEJuWPIa3HQ_11_0"/>
      <w:bookmarkStart w:id="149" w:name="Tc_T3n5Prn3Y0mXK3k-4IjDUg_10_2"/>
      <w:bookmarkStart w:id="150" w:name="Tc_Q0iZqCjc_0G9vaWfaeqxsQ_10_0"/>
      <w:bookmarkStart w:id="151" w:name="Tc_MRoaclHAzEi3HZFGYbPFmg_9_2"/>
      <w:bookmarkStart w:id="152" w:name="Tc_NquB2PaZ3kmxFzeCFYbsLw_9_0"/>
      <w:bookmarkStart w:id="153" w:name="Tc_TmlUod5ZOEqB4cIEl6FFlA_8_2"/>
      <w:bookmarkStart w:id="154" w:name="Tc_hVeEx0M0NkOTFFctAWiRIQ_8_0"/>
      <w:bookmarkStart w:id="155" w:name="Tc_rvt_vf8R40qW5Nrxd__SaA_7_2"/>
      <w:bookmarkStart w:id="156" w:name="Tc_dX1aLydda0m-YqDyeK1QJw_7_0"/>
      <w:bookmarkStart w:id="157" w:name="Tc_XyS3nXagmkWICV49R31loA_6_2"/>
      <w:bookmarkStart w:id="158" w:name="Tc_1ksg5Lv6uUaln5J-f3GiDg_6_0"/>
      <w:bookmarkStart w:id="159" w:name="Tc_e5D1d5D6KEGgjtnmEjzRLw_5_0"/>
      <w:bookmarkStart w:id="160" w:name="Tc_jOL-OlWneE-5-PiEWCMXKQ_4_2"/>
      <w:bookmarkStart w:id="161" w:name="Tc_zFNyXaIgrkqVe2KpvHdOrg_4_0"/>
      <w:bookmarkStart w:id="162" w:name="Tc_jA_BCfUyaEe0kWdwpEhBpg_3_2"/>
      <w:bookmarkStart w:id="163" w:name="Tc_EBGct4clWkeg_kqvHC38Yg_3_0"/>
      <w:bookmarkStart w:id="164" w:name="Tc_eDlea2US5EigP8sYPsGbCg_2_0"/>
      <w:bookmarkStart w:id="165" w:name="Tc_2HAfa61Rt0irNfw0bVG9Rg_1_6"/>
      <w:bookmarkStart w:id="166" w:name="Tc_3k0aPZsxb0mUtqAhy1nV_Q_1_4"/>
      <w:bookmarkStart w:id="167" w:name="Tc_n8HXul7KaEOZbFsQaF4Cxg_1_2"/>
      <w:bookmarkStart w:id="168" w:name="_4f24a4d5_d7db_40a3_b6cf_574d58ac348a"/>
      <w:bookmarkStart w:id="169" w:name="Tc_cc-EjR3BTk-2uAF2lekMVw_32_0"/>
      <w:bookmarkStart w:id="170" w:name="Tc_hWygY3XsD02A4Zb97ONivQ_31_2"/>
      <w:bookmarkStart w:id="171" w:name="Tc_sO49zpKUCEeJAwVoouRpYw_31_0"/>
      <w:bookmarkStart w:id="172" w:name="Tc_gniHVVv3lUSCHe1yZDEQDg_30_2"/>
      <w:bookmarkStart w:id="173" w:name="Tc_IDFa5pIgiUWbuFsy-wdIlg_30_0"/>
      <w:bookmarkStart w:id="174" w:name="Tc_svC4tltZg0GUiAh3DKXkBg_29_2"/>
      <w:bookmarkStart w:id="175" w:name="Tc_G4zMjIdpV0OTlaiBm0EBNQ_29_0"/>
      <w:bookmarkStart w:id="176" w:name="Tc_8kjqx0y8f0y4RywjTL9EJA_28_0"/>
      <w:bookmarkStart w:id="177" w:name="Tc_6aMOSx-Fck-gcPr4qa1wcA_27_0"/>
      <w:bookmarkStart w:id="178" w:name="Tc_wuFPwn6140OZX-yTJ39Deg_26_0"/>
      <w:bookmarkStart w:id="179" w:name="Tc_qec4NUwk_0OewkhN3bDhbQ_25_2"/>
      <w:bookmarkStart w:id="180" w:name="Tc_k6i4N0JrBUmxPDaNmoV9mA_25_0"/>
      <w:bookmarkStart w:id="181" w:name="Tc_dIqsVmBLUEytT4pBkiVLaQ_24_2"/>
      <w:bookmarkStart w:id="182" w:name="Tc_WDaneHrlAEmADF4vKi924w_24_0"/>
      <w:bookmarkStart w:id="183" w:name="Tc_k2Kobg3ErEW9fSl_MJhsyQ_23_2"/>
      <w:bookmarkStart w:id="184" w:name="Tc_WzwxCNnaaUWxjLVHyI75Og_23_0"/>
      <w:bookmarkStart w:id="185" w:name="Tc_Z4k0bBLu6UOPTOCqv-3r2w_22_0"/>
      <w:bookmarkStart w:id="186" w:name="Tc_jsd5LkSCsUmKQf2ORktghw_21_0"/>
      <w:bookmarkStart w:id="187" w:name="Tc_N5m68hbyiUiU84aJIq2F5w_20_2"/>
      <w:bookmarkStart w:id="188" w:name="Tc_sTmQ-Ci4tkqTIZtl-ZBfVQ_20_0"/>
      <w:bookmarkStart w:id="189" w:name="Tc_rpKbOw8hV0-F7nHtHWNlLQ_19_2"/>
      <w:bookmarkStart w:id="190" w:name="Tc_jPl71UPEt0qd0PxzdxFnEQ_19_0"/>
      <w:bookmarkStart w:id="191" w:name="Tc_QVSHxR7Gp02AkQtggfvOTQ_18_0"/>
      <w:bookmarkStart w:id="192" w:name="Tc_nwHPtnF1W0SJ46j1xSa6-Q_17_0"/>
      <w:bookmarkStart w:id="193" w:name="Tc__Rc2iWWhXUiGoGY9FryHww_16_0"/>
      <w:bookmarkStart w:id="194" w:name="Tc_uGMAwcI-2E6yeQtZu-XdHw_15_2"/>
      <w:bookmarkStart w:id="195" w:name="Tc_kVrt68fm5UOEDJm9mWgCag_15_0"/>
      <w:bookmarkStart w:id="196" w:name="Tc_9k0i2UekTESkRqpKtTTYsA_14_0"/>
      <w:bookmarkStart w:id="197" w:name="Tc_-QV9_F6p1kOT_9wwQ94O2w_13_4"/>
      <w:bookmarkStart w:id="198" w:name="Tc_v3G52Qll3kecmWcH7nl9DQ_13_2"/>
      <w:bookmarkStart w:id="199" w:name="Tc_yjL62esoU0Gb0UOQ0h0sKA_13_0"/>
      <w:bookmarkStart w:id="200" w:name="Tc_smepOKUxLEi-KRONZaVQjQ_12_2"/>
      <w:bookmarkStart w:id="201" w:name="Tc_VGDurSJAGkSnWMKjxe2YwA_12_0"/>
      <w:bookmarkStart w:id="202" w:name="Tc_4b2yfe9ZuEejYqEFUkuJLA_11_2"/>
      <w:bookmarkStart w:id="203" w:name="Tc_Rf5_8sxSfUeCEJuWPIa3HQ_11_0"/>
      <w:bookmarkStart w:id="204" w:name="Tc_T3n5Prn3Y0mXK3k-4IjDUg_10_2"/>
      <w:bookmarkStart w:id="205" w:name="Tc_Q0iZqCjc_0G9vaWfaeqxsQ_10_0"/>
      <w:bookmarkStart w:id="206" w:name="Tc_MRoaclHAzEi3HZFGYbPFmg_9_2"/>
      <w:bookmarkStart w:id="207" w:name="Tc_NquB2PaZ3kmxFzeCFYbsLw_9_0"/>
      <w:bookmarkStart w:id="208" w:name="Tc_TmlUod5ZOEqB4cIEl6FFlA_8_2"/>
      <w:bookmarkStart w:id="209" w:name="Tc_hVeEx0M0NkOTFFctAWiRIQ_8_0"/>
      <w:bookmarkStart w:id="210" w:name="Tc_rvt_vf8R40qW5Nrxd__SaA_7_2"/>
      <w:bookmarkStart w:id="211" w:name="Tc_dX1aLydda0m-YqDyeK1QJw_7_0"/>
      <w:bookmarkStart w:id="212" w:name="Tc_XyS3nXagmkWICV49R31loA_6_2"/>
      <w:bookmarkStart w:id="213" w:name="Tc_1ksg5Lv6uUaln5J-f3GiDg_6_0"/>
      <w:bookmarkStart w:id="214" w:name="Tc_e5D1d5D6KEGgjtnmEjzRLw_5_0"/>
      <w:bookmarkStart w:id="215" w:name="Tc_jOL-OlWneE-5-PiEWCMXKQ_4_2"/>
      <w:bookmarkStart w:id="216" w:name="Tc_zFNyXaIgrkqVe2KpvHdOrg_4_0"/>
      <w:bookmarkStart w:id="217" w:name="Tc_jA_BCfUyaEe0kWdwpEhBpg_3_2"/>
      <w:bookmarkStart w:id="218" w:name="Tc_EBGct4clWkeg_kqvHC38Yg_3_0"/>
      <w:bookmarkStart w:id="219" w:name="Tc_eDlea2US5EigP8sYPsGbCg_2_0"/>
      <w:bookmarkStart w:id="220" w:name="Tc_2HAfa61Rt0irNfw0bVG9Rg_1_6"/>
      <w:bookmarkStart w:id="221" w:name="Tc_3k0aPZsxb0mUtqAhy1nV_Q_1_4"/>
      <w:bookmarkStart w:id="222" w:name="Tc_n8HXul7KaEOZbFsQaF4Cxg_1_2"/>
      <w:bookmarkStart w:id="223" w:name="_4f24a4d5_d7db_40a3_b6cf_574d58ac348a"/>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tbl>
      <w:tblPr>
        <w:tblW w:w="8632" w:type="dxa"/>
        <w:jc w:val="left"/>
        <w:tblInd w:w="0" w:type="dxa"/>
        <w:tblCellMar>
          <w:top w:w="0" w:type="dxa"/>
          <w:left w:w="0" w:type="dxa"/>
          <w:bottom w:w="0" w:type="dxa"/>
          <w:right w:w="0" w:type="dxa"/>
        </w:tblCellMar>
      </w:tblPr>
      <w:tblGrid>
        <w:gridCol w:w="4156"/>
        <w:gridCol w:w="326"/>
        <w:gridCol w:w="451"/>
        <w:gridCol w:w="326"/>
        <w:gridCol w:w="1501"/>
        <w:gridCol w:w="326"/>
        <w:gridCol w:w="1546"/>
      </w:tblGrid>
      <w:tr>
        <w:trPr/>
        <w:tc>
          <w:tcPr>
            <w:tcW w:w="4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639060" cy="175260"/>
                      <wp:effectExtent l="0" t="0" r="0" b="0"/>
                      <wp:wrapNone/>
                      <wp:docPr id="142" name="Frame141"/>
                      <a:graphic xmlns:a="http://schemas.openxmlformats.org/drawingml/2006/main">
                        <a:graphicData uri="http://schemas.microsoft.com/office/word/2010/wordprocessingShape">
                          <wps:wsp>
                            <wps:cNvSpPr txBox="1"/>
                            <wps:spPr>
                              <a:xfrm>
                                <a:off x="0" y="0"/>
                                <a:ext cx="263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86385" cy="175260"/>
                      <wp:effectExtent l="0" t="0" r="0" b="0"/>
                      <wp:wrapNone/>
                      <wp:docPr id="144" name="Frame143"/>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53135" cy="175260"/>
                      <wp:effectExtent l="0" t="0" r="0" b="0"/>
                      <wp:wrapNone/>
                      <wp:docPr id="146" name="Frame145"/>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81710" cy="175260"/>
                      <wp:effectExtent l="0" t="0" r="0" b="0"/>
                      <wp:wrapNone/>
                      <wp:docPr id="148" name="Frame147"/>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1"/>
              <w:ind w:left="0" w:right="0" w:hanging="0"/>
              <w:jc w:val="center"/>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1"/>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5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546" w:type="dxa"/>
            <w:tcBorders/>
            <w:shd w:fill="CCEEFF" w:val="clear"/>
            <w:vAlign w:val="center"/>
          </w:tcPr>
          <w:p>
            <w:pPr>
              <w:pStyle w:val="TableContents"/>
              <w:spacing w:before="0" w:after="1"/>
              <w:ind w:left="0" w:right="0" w:hanging="0"/>
              <w:rPr/>
            </w:pPr>
            <w:r>
              <w:rPr/>
              <w:t>​</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372,088</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231,362</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Cryptocurrencies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6,187</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2,175</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receivables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8,238</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18,304</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Amounts due from a related party</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Mining machines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46,469</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27,703</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Prepayments and other assets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34,637</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59,576</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Financial assets at fair value through profit or loss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60,959</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10,310</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11,494</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58,941</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60,082</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102,617</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138,636</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 properties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35,542</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auto" w:val="clear"/>
            <w:vAlign w:val="center"/>
          </w:tcPr>
          <w:p>
            <w:pPr>
              <w:pStyle w:val="TableContents"/>
              <w:spacing w:before="0" w:after="1"/>
              <w:ind w:left="0" w:right="0" w:hanging="0"/>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4,857</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646,974</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651,409</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pPr>
            <w:r>
              <w:rPr/>
              <w:t>  </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payables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17,740</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15,768</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payables and accruals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17,258</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22,176</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Amounts due to a related party</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payables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10,454</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213,449</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182,297</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Borrowings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29,460</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29,805</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62,968</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70,425</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pPr>
            <w:r>
              <w:rPr/>
              <w:t>​</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7,547</w:t>
            </w:r>
          </w:p>
        </w:tc>
        <w:tc>
          <w:tcPr>
            <w:tcW w:w="326" w:type="dxa"/>
            <w:tcBorders/>
            <w:shd w:fill="auto" w:val="clear"/>
            <w:vAlign w:val="center"/>
          </w:tcPr>
          <w:p>
            <w:pPr>
              <w:pStyle w:val="TableContents"/>
              <w:spacing w:before="0" w:after="1"/>
              <w:ind w:left="0" w:right="0" w:hanging="0"/>
              <w:rPr/>
            </w:pPr>
            <w:r>
              <w:rPr/>
              <w:t>​</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11,626</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358,895</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333,070</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ASSETS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288,079</w:t>
            </w:r>
          </w:p>
        </w:tc>
        <w:tc>
          <w:tcPr>
            <w:tcW w:w="326" w:type="dxa"/>
            <w:tcBorders/>
            <w:shd w:fill="auto" w:val="clear"/>
            <w:vAlign w:val="center"/>
          </w:tcPr>
          <w:p>
            <w:pPr>
              <w:pStyle w:val="TableContents"/>
              <w:spacing w:before="0" w:after="1"/>
              <w:ind w:left="0" w:right="0" w:hanging="0"/>
              <w:rPr/>
            </w:pPr>
            <w:r>
              <w:rPr/>
              <w:t> </w:t>
            </w:r>
          </w:p>
        </w:tc>
        <w:tc>
          <w:tcPr>
            <w:tcW w:w="15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318,339</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pPr>
            <w:r>
              <w:rPr/>
              <w:t>  </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 capital</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spacing w:before="0" w:after="1"/>
              <w:ind w:left="0" w:right="0" w:hanging="0"/>
              <w:rPr/>
            </w:pPr>
            <w:r>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67,169</w:t>
            </w:r>
          </w:p>
        </w:tc>
        <w:tc>
          <w:tcPr>
            <w:tcW w:w="326" w:type="dxa"/>
            <w:tcBorders/>
            <w:shd w:fill="CCEEFF" w:val="clear"/>
            <w:vAlign w:val="center"/>
          </w:tcPr>
          <w:p>
            <w:pPr>
              <w:pStyle w:val="TableContents"/>
              <w:spacing w:before="0" w:after="1"/>
              <w:ind w:left="0" w:right="0" w:hanging="0"/>
              <w:rPr/>
            </w:pPr>
            <w:r>
              <w:rPr/>
              <w:t>​</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6,803</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Reserves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220,909</w:t>
            </w:r>
          </w:p>
        </w:tc>
        <w:tc>
          <w:tcPr>
            <w:tcW w:w="326" w:type="dxa"/>
            <w:tcBorders/>
            <w:shd w:fill="auto" w:val="clear"/>
            <w:vAlign w:val="center"/>
          </w:tcPr>
          <w:p>
            <w:pPr>
              <w:pStyle w:val="TableContents"/>
              <w:spacing w:before="0" w:after="1"/>
              <w:ind w:left="0" w:right="0" w:hanging="0"/>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311,535</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TOTAL EQUITY </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288,079</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318,339</w:t>
            </w:r>
          </w:p>
        </w:tc>
      </w:tr>
    </w:tbl>
    <w:p>
      <w:pPr>
        <w:pStyle w:val="TextBody"/>
        <w:spacing w:before="0" w:after="240"/>
        <w:ind w:left="0" w:right="0" w:hanging="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24" w:name="_74902b46_7ab7_4957_be38_4fefb1a77bb7"/>
      <w:bookmarkEnd w:id="224"/>
      <w:r>
        <w:rPr>
          <w:rFonts w:ascii="Times New Roman;Times;serif" w:hAnsi="Times New Roman;Times;serif"/>
          <w:b/>
          <w:sz w:val="20"/>
        </w:rPr>
        <w:t>BITDEER TECHNOLOGIES HOLDING COMPANY AND SUBSIDIARIES</w:t>
      </w:r>
    </w:p>
    <w:p>
      <w:pPr>
        <w:pStyle w:val="TextBody"/>
        <w:spacing w:before="0" w:after="0"/>
        <w:ind w:left="0" w:right="0" w:hanging="0"/>
        <w:jc w:val="center"/>
        <w:rPr>
          <w:rFonts w:ascii="Times New Roman;Times;serif" w:hAnsi="Times New Roman;Times;serif"/>
          <w:b/>
          <w:sz w:val="20"/>
        </w:rPr>
      </w:pPr>
      <w:bookmarkStart w:id="225" w:name="CONSOLIDATEDSTATEMENTSOFOPERATIONSANDCOM"/>
      <w:bookmarkEnd w:id="225"/>
      <w:r>
        <w:rPr>
          <w:rFonts w:ascii="Times New Roman;Times;serif" w:hAnsi="Times New Roman;Times;serif"/>
          <w:b/>
          <w:sz w:val="20"/>
        </w:rPr>
        <w:t>CONSOLIDATED STATEMENTS OF OPERATIONS AND COMPREHENSIVE INCOME / (LOSS)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tables are stated in thousands of U.S. Dollar, except for per share data)</w:t>
      </w:r>
    </w:p>
    <w:p>
      <w:pPr>
        <w:pStyle w:val="Normal"/>
        <w:spacing w:before="0" w:after="0"/>
        <w:rPr>
          <w:sz w:val="4"/>
          <w:szCs w:val="4"/>
        </w:rPr>
      </w:pPr>
      <w:r>
        <w:rPr>
          <w:sz w:val="4"/>
          <w:szCs w:val="4"/>
        </w:rPr>
      </w:r>
      <w:bookmarkStart w:id="226" w:name="Tc_j8x_qGrAVUWIDt4ONQy3Wg_29_2"/>
      <w:bookmarkStart w:id="227" w:name="Tc_uuyCTvp690OB-I0jbqxtkA_29_0"/>
      <w:bookmarkStart w:id="228" w:name="Tc_imDD9tMJ1USOz7Nq3yDxIw_28_2"/>
      <w:bookmarkStart w:id="229" w:name="Tc_tHSrl4slAECvpOtcTD72fQ_28_0"/>
      <w:bookmarkStart w:id="230" w:name="Tc_cPFYfc0GXUK6byuA_w1qSg_27_0"/>
      <w:bookmarkStart w:id="231" w:name="Tc_ydppoEiVnUS8A5ZGZBypiA_26_2"/>
      <w:bookmarkStart w:id="232" w:name="Tc_WGCogFYIh0enZ9CNmaWojA_26_0"/>
      <w:bookmarkStart w:id="233" w:name="Tc_YxVKxBL7h0CORVozEADEoA_25_2"/>
      <w:bookmarkStart w:id="234" w:name="Tc_5M9FOundMkKyT2Ho4sSQpA_25_0"/>
      <w:bookmarkStart w:id="235" w:name="Tc_lixrHZPylEmFgPxlWJU_8A_24_0"/>
      <w:bookmarkStart w:id="236" w:name="Tc_sl_jkbIMIkiMkgAKOaU_lg_23_0"/>
      <w:bookmarkStart w:id="237" w:name="Tc_zEWxQzsS00yZarUJKYg1kw_22_0"/>
      <w:bookmarkStart w:id="238" w:name="Tc_vqbmazVuakOonbK9d_5KYw_21_0"/>
      <w:bookmarkStart w:id="239" w:name="Tc_JMl11eBZxkSwxzXTHXUGzQ_20_0"/>
      <w:bookmarkStart w:id="240" w:name="Tc_rmi1DIBLHkSNebjbqnp3jg_19_0"/>
      <w:bookmarkStart w:id="241" w:name="Tc_UyTmiUCuM0uWmHmGvbgKUw_18_0"/>
      <w:bookmarkStart w:id="242" w:name="Tc_plvtiLxuFkqYI82dXxDaEg_17_0"/>
      <w:bookmarkStart w:id="243" w:name="Tc_yju8tOxRaUCxX06c0sQvgQ_16_0"/>
      <w:bookmarkStart w:id="244" w:name="Tc_LjXDM51oFkiddqhMQQsSzQ_15_2"/>
      <w:bookmarkStart w:id="245" w:name="Tc_1nSs8CH5rUG1v8Mhwx8FBQ_15_0"/>
      <w:bookmarkStart w:id="246" w:name="Tc_6aYJBpegPkWmjzzKo9HcfA_14_0"/>
      <w:bookmarkStart w:id="247" w:name="Tc_2g0Tmnu4Hki2a3XgVa6nIw_13_2"/>
      <w:bookmarkStart w:id="248" w:name="Tc_dEdCn7Rtz06fX9jt2ETeIQ_13_0"/>
      <w:bookmarkStart w:id="249" w:name="Tc_kqK1kdQUKkODfmZn9LU2Ww_12_0"/>
      <w:bookmarkStart w:id="250" w:name="Tc_q8ryWxOrJUyf69bFmXo5hA_11_2"/>
      <w:bookmarkStart w:id="251" w:name="Tc_la3guNr_pEafgZlGUjwKaA_11_0"/>
      <w:bookmarkStart w:id="252" w:name="Tc_V_ct9ILDHEWd8IjlPwOjbg_10_2"/>
      <w:bookmarkStart w:id="253" w:name="Tc_ZL9inWkiH0m8Fh7Fva5fjw_10_0"/>
      <w:bookmarkStart w:id="254" w:name="Tc_kdLDI6a1lEW4-IxgNT2M7g_9_2"/>
      <w:bookmarkStart w:id="255" w:name="Tc_gtI8eoqGsUWg_FLDsNnlJw_9_0"/>
      <w:bookmarkStart w:id="256" w:name="Tc_l_8oOapja06Dozm1luPdoQ_8_2"/>
      <w:bookmarkStart w:id="257" w:name="Tc_moXxiwim3keoUSg_aSyECA_8_0"/>
      <w:bookmarkStart w:id="258" w:name="Tc_5-N7FuOpNkC6P1cbHdDbuQ_7_2"/>
      <w:bookmarkStart w:id="259" w:name="Tc_UUv2-mK6bk-U_DtVAh7Tjw_7_0"/>
      <w:bookmarkStart w:id="260" w:name="Tc_KwiVTSs7Uk68BlkRVILxkA_6_0"/>
      <w:bookmarkStart w:id="261" w:name="Tc_zJ0oyuiVLUCcQriXdr-6fg_5_2"/>
      <w:bookmarkStart w:id="262" w:name="Tc_vohW06YcZUG3rneleB5qHQ_5_0"/>
      <w:bookmarkStart w:id="263" w:name="Tc_2plbRdMBSkWT0MGTcMDvdA_4_2"/>
      <w:bookmarkStart w:id="264" w:name="Tc_TeEAO9exgECKXuj6Y2gFUw_4_0"/>
      <w:bookmarkStart w:id="265" w:name="Tc_cGSIvnShUk-xIxkM2sWa0A_3_4"/>
      <w:bookmarkStart w:id="266" w:name="Tc_eRE8QeBMl0SZRTPT-MUWQA_2_8"/>
      <w:bookmarkStart w:id="267" w:name="Tc_9hr4Vctxqkutp7nzciMekA_2_6"/>
      <w:bookmarkStart w:id="268" w:name="Tc_L4oYHbSZ_EapXg_2QnyX4A_2_4"/>
      <w:bookmarkStart w:id="269" w:name="Tc_znPxnPUm70yRpeeTNmEfRg_2_2"/>
      <w:bookmarkStart w:id="270" w:name="Tc_fSu_0sO90kiWckN_A6L3VQ_1_4"/>
      <w:bookmarkStart w:id="271" w:name="_05e4a350_9fa9_4e08_8ada_75ebca6a55f1"/>
      <w:bookmarkStart w:id="272" w:name="Tc_j8x_qGrAVUWIDt4ONQy3Wg_29_2"/>
      <w:bookmarkStart w:id="273" w:name="Tc_uuyCTvp690OB-I0jbqxtkA_29_0"/>
      <w:bookmarkStart w:id="274" w:name="Tc_imDD9tMJ1USOz7Nq3yDxIw_28_2"/>
      <w:bookmarkStart w:id="275" w:name="Tc_tHSrl4slAECvpOtcTD72fQ_28_0"/>
      <w:bookmarkStart w:id="276" w:name="Tc_cPFYfc0GXUK6byuA_w1qSg_27_0"/>
      <w:bookmarkStart w:id="277" w:name="Tc_ydppoEiVnUS8A5ZGZBypiA_26_2"/>
      <w:bookmarkStart w:id="278" w:name="Tc_WGCogFYIh0enZ9CNmaWojA_26_0"/>
      <w:bookmarkStart w:id="279" w:name="Tc_YxVKxBL7h0CORVozEADEoA_25_2"/>
      <w:bookmarkStart w:id="280" w:name="Tc_5M9FOundMkKyT2Ho4sSQpA_25_0"/>
      <w:bookmarkStart w:id="281" w:name="Tc_lixrHZPylEmFgPxlWJU_8A_24_0"/>
      <w:bookmarkStart w:id="282" w:name="Tc_sl_jkbIMIkiMkgAKOaU_lg_23_0"/>
      <w:bookmarkStart w:id="283" w:name="Tc_zEWxQzsS00yZarUJKYg1kw_22_0"/>
      <w:bookmarkStart w:id="284" w:name="Tc_vqbmazVuakOonbK9d_5KYw_21_0"/>
      <w:bookmarkStart w:id="285" w:name="Tc_JMl11eBZxkSwxzXTHXUGzQ_20_0"/>
      <w:bookmarkStart w:id="286" w:name="Tc_rmi1DIBLHkSNebjbqnp3jg_19_0"/>
      <w:bookmarkStart w:id="287" w:name="Tc_UyTmiUCuM0uWmHmGvbgKUw_18_0"/>
      <w:bookmarkStart w:id="288" w:name="Tc_plvtiLxuFkqYI82dXxDaEg_17_0"/>
      <w:bookmarkStart w:id="289" w:name="Tc_yju8tOxRaUCxX06c0sQvgQ_16_0"/>
      <w:bookmarkStart w:id="290" w:name="Tc_LjXDM51oFkiddqhMQQsSzQ_15_2"/>
      <w:bookmarkStart w:id="291" w:name="Tc_1nSs8CH5rUG1v8Mhwx8FBQ_15_0"/>
      <w:bookmarkStart w:id="292" w:name="Tc_6aYJBpegPkWmjzzKo9HcfA_14_0"/>
      <w:bookmarkStart w:id="293" w:name="Tc_2g0Tmnu4Hki2a3XgVa6nIw_13_2"/>
      <w:bookmarkStart w:id="294" w:name="Tc_dEdCn7Rtz06fX9jt2ETeIQ_13_0"/>
      <w:bookmarkStart w:id="295" w:name="Tc_kqK1kdQUKkODfmZn9LU2Ww_12_0"/>
      <w:bookmarkStart w:id="296" w:name="Tc_q8ryWxOrJUyf69bFmXo5hA_11_2"/>
      <w:bookmarkStart w:id="297" w:name="Tc_la3guNr_pEafgZlGUjwKaA_11_0"/>
      <w:bookmarkStart w:id="298" w:name="Tc_V_ct9ILDHEWd8IjlPwOjbg_10_2"/>
      <w:bookmarkStart w:id="299" w:name="Tc_ZL9inWkiH0m8Fh7Fva5fjw_10_0"/>
      <w:bookmarkStart w:id="300" w:name="Tc_kdLDI6a1lEW4-IxgNT2M7g_9_2"/>
      <w:bookmarkStart w:id="301" w:name="Tc_gtI8eoqGsUWg_FLDsNnlJw_9_0"/>
      <w:bookmarkStart w:id="302" w:name="Tc_l_8oOapja06Dozm1luPdoQ_8_2"/>
      <w:bookmarkStart w:id="303" w:name="Tc_moXxiwim3keoUSg_aSyECA_8_0"/>
      <w:bookmarkStart w:id="304" w:name="Tc_5-N7FuOpNkC6P1cbHdDbuQ_7_2"/>
      <w:bookmarkStart w:id="305" w:name="Tc_UUv2-mK6bk-U_DtVAh7Tjw_7_0"/>
      <w:bookmarkStart w:id="306" w:name="Tc_KwiVTSs7Uk68BlkRVILxkA_6_0"/>
      <w:bookmarkStart w:id="307" w:name="Tc_zJ0oyuiVLUCcQriXdr-6fg_5_2"/>
      <w:bookmarkStart w:id="308" w:name="Tc_vohW06YcZUG3rneleB5qHQ_5_0"/>
      <w:bookmarkStart w:id="309" w:name="Tc_2plbRdMBSkWT0MGTcMDvdA_4_2"/>
      <w:bookmarkStart w:id="310" w:name="Tc_TeEAO9exgECKXuj6Y2gFUw_4_0"/>
      <w:bookmarkStart w:id="311" w:name="Tc_cGSIvnShUk-xIxkM2sWa0A_3_4"/>
      <w:bookmarkStart w:id="312" w:name="Tc_eRE8QeBMl0SZRTPT-MUWQA_2_8"/>
      <w:bookmarkStart w:id="313" w:name="Tc_9hr4Vctxqkutp7nzciMekA_2_6"/>
      <w:bookmarkStart w:id="314" w:name="Tc_L4oYHbSZ_EapXg_2QnyX4A_2_4"/>
      <w:bookmarkStart w:id="315" w:name="Tc_znPxnPUm70yRpeeTNmEfRg_2_2"/>
      <w:bookmarkStart w:id="316" w:name="Tc_fSu_0sO90kiWckN_A6L3VQ_1_4"/>
      <w:bookmarkStart w:id="317" w:name="_05e4a350_9fa9_4e08_8ada_75ebca6a55f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bl>
      <w:tblPr>
        <w:tblW w:w="10205" w:type="dxa"/>
        <w:jc w:val="left"/>
        <w:tblInd w:w="0" w:type="dxa"/>
        <w:tblCellMar>
          <w:top w:w="0" w:type="dxa"/>
          <w:left w:w="0" w:type="dxa"/>
          <w:bottom w:w="0" w:type="dxa"/>
          <w:right w:w="0" w:type="dxa"/>
        </w:tblCellMar>
      </w:tblPr>
      <w:tblGrid>
        <w:gridCol w:w="5046"/>
        <w:gridCol w:w="326"/>
        <w:gridCol w:w="858"/>
        <w:gridCol w:w="326"/>
        <w:gridCol w:w="1036"/>
        <w:gridCol w:w="326"/>
        <w:gridCol w:w="1036"/>
        <w:gridCol w:w="109"/>
        <w:gridCol w:w="1142"/>
      </w:tblGrid>
      <w:tr>
        <w:trPr/>
        <w:tc>
          <w:tcPr>
            <w:tcW w:w="5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rPr/>
            </w:pPr>
            <w:r>
              <w:rPr/>
              <w:t>​</w:t>
            </w:r>
          </w:p>
        </w:tc>
      </w:tr>
      <w:tr>
        <w:trPr/>
        <w:tc>
          <w:tcPr>
            <w:tcW w:w="5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64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(Restated)</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pPr>
            <w:r>
              <w:rPr/>
              <w:t>​</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2(a), 2(q)</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186,387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394,661</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333,342</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2(a), 16(a)</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(209,564)</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(153,255)</w:t>
            </w:r>
          </w:p>
        </w:tc>
        <w:tc>
          <w:tcPr>
            <w:tcW w:w="109" w:type="dxa"/>
            <w:tcBorders/>
            <w:shd w:fill="auto" w:val="cle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(250,090)</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Gross profit / (loss)</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(23,177)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241,406</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83,252</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Selling expenses</w:t>
            </w:r>
          </w:p>
        </w:tc>
        <w:tc>
          <w:tcPr>
            <w:tcW w:w="326"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16(a)</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(5,567)</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(8,448)</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(11,683)</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16(a)</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(20,268)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(89,735)</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(93,453)</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16(a)</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(9,790)</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(29,501)</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(35,430)</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operating income / (expenses)</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16(b)</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(2,045)</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14,625</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(3,628)</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net gain / (loss)</w:t>
            </w:r>
          </w:p>
        </w:tc>
        <w:tc>
          <w:tcPr>
            <w:tcW w:w="326"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16(c)</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2,483</w:t>
            </w:r>
          </w:p>
        </w:tc>
        <w:tc>
          <w:tcPr>
            <w:tcW w:w="109" w:type="dxa"/>
            <w:tcBorders/>
            <w:shd w:fill="auto" w:val="cle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Profit / (loss) from operations</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(63,407)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130,830</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(60,585)</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Finance income / (expenses)</w:t>
            </w:r>
          </w:p>
        </w:tc>
        <w:tc>
          <w:tcPr>
            <w:tcW w:w="326"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16(d)</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auto" w:val="cle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(4,181)</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Profit / (loss) before taxation</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(63,787)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130,889</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(64,766)</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Income tax benefit / (expenses)</w:t>
            </w:r>
          </w:p>
        </w:tc>
        <w:tc>
          <w:tcPr>
            <w:tcW w:w="326"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7,961</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(48,246)</w:t>
            </w:r>
          </w:p>
        </w:tc>
        <w:tc>
          <w:tcPr>
            <w:tcW w:w="109" w:type="dxa"/>
            <w:tcBorders/>
            <w:shd w:fill="auto" w:val="cle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4,400</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Profit / (loss) for the year</w:t>
            </w:r>
          </w:p>
        </w:tc>
        <w:tc>
          <w:tcPr>
            <w:tcW w:w="326" w:type="dxa"/>
            <w:tcBorders/>
            <w:shd w:fill="CCEEFF" w:val="clear"/>
            <w:vAlign w:val="center"/>
          </w:tcPr>
          <w:p>
            <w:pPr>
              <w:pStyle w:val="TableContents"/>
              <w:spacing w:before="0" w:after="1"/>
              <w:ind w:left="0" w:right="0" w:hanging="0"/>
              <w:rPr/>
            </w:pPr>
            <w:r>
              <w:rPr/>
              <w:t> </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(55,826)</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82,643</w:t>
            </w:r>
          </w:p>
        </w:tc>
        <w:tc>
          <w:tcPr>
            <w:tcW w:w="109" w:type="dxa"/>
            <w:tcBorders/>
            <w:shd w:fill="CCEEFF" w:val="clear"/>
            <w:vAlign w:val="center"/>
          </w:tcPr>
          <w:p>
            <w:pPr>
              <w:pStyle w:val="TableContents"/>
              <w:spacing w:before="0" w:after="1"/>
              <w:ind w:left="0" w:right="0" w:hanging="0"/>
              <w:rPr/>
            </w:pPr>
            <w:r>
              <w:rPr/>
              <w:t>​</w:t>
            </w:r>
          </w:p>
        </w:tc>
        <w:tc>
          <w:tcPr>
            <w:tcW w:w="11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(60,366)</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 (loss)</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Profit / (loss) for the year</w:t>
            </w:r>
          </w:p>
        </w:tc>
        <w:tc>
          <w:tcPr>
            <w:tcW w:w="326"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(55,826)</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82,643</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 xml:space="preserve">Other comprehensive income / (loss) for the year </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504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Item that may be reclassified to profit or loss</w:t>
            </w:r>
          </w:p>
        </w:tc>
        <w:tc>
          <w:tcPr>
            <w:tcW w:w="326"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 Exchange differences on translation of financial statements </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 (loss) for the year, net of tax</w:t>
            </w:r>
          </w:p>
        </w:tc>
        <w:tc>
          <w:tcPr>
            <w:tcW w:w="326"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905</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(195)</w:t>
            </w:r>
          </w:p>
        </w:tc>
        <w:tc>
          <w:tcPr>
            <w:tcW w:w="109" w:type="dxa"/>
            <w:tcBorders/>
            <w:shd w:fill="CCEEFF" w:val="clear"/>
            <w:vAlign w:val="center"/>
          </w:tcPr>
          <w:p>
            <w:pPr>
              <w:pStyle w:val="TableContents"/>
              <w:spacing w:before="0" w:after="1"/>
              <w:ind w:left="0" w:right="0" w:hanging="0"/>
              <w:rPr/>
            </w:pPr>
            <w:r>
              <w:rPr/>
              <w:t>​</w:t>
            </w:r>
          </w:p>
        </w:tc>
        <w:tc>
          <w:tcPr>
            <w:tcW w:w="11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comprehensive income / (loss) for the year</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(54,921)</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82,448</w:t>
            </w:r>
          </w:p>
        </w:tc>
        <w:tc>
          <w:tcPr>
            <w:tcW w:w="109" w:type="dxa"/>
            <w:tcBorders/>
            <w:shd w:fill="auto" w:val="clear"/>
            <w:vAlign w:val="center"/>
          </w:tcPr>
          <w:p>
            <w:pPr>
              <w:pStyle w:val="TableContents"/>
              <w:spacing w:before="0" w:after="1"/>
              <w:ind w:left="0" w:right="0" w:hanging="0"/>
              <w:rPr/>
            </w:pPr>
            <w:r>
              <w:rPr/>
              <w:t>​</w:t>
            </w:r>
          </w:p>
        </w:tc>
        <w:tc>
          <w:tcPr>
            <w:tcW w:w="11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(60,388)</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Earnings / (loss) per share</w:t>
            </w:r>
          </w:p>
        </w:tc>
        <w:tc>
          <w:tcPr>
            <w:tcW w:w="326"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pPr>
            <w:r>
              <w:rPr/>
              <w:t>​</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shd w:fill="auto" w:val="clear"/>
            <w:vAlign w:val="center"/>
          </w:tcPr>
          <w:p>
            <w:pPr>
              <w:pStyle w:val="TableContents"/>
              <w:spacing w:before="0" w:after="1"/>
              <w:ind w:left="0" w:right="0" w:hanging="0"/>
              <w:rPr/>
            </w:pPr>
            <w:r>
              <w:rPr/>
              <w:t>​</w:t>
            </w:r>
          </w:p>
        </w:tc>
        <w:tc>
          <w:tcPr>
            <w:tcW w:w="11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shd w:fill="CCEEFF" w:val="clear"/>
            <w:vAlign w:val="center"/>
          </w:tcPr>
          <w:p>
            <w:pPr>
              <w:pStyle w:val="TableContents"/>
              <w:spacing w:before="0" w:after="1"/>
              <w:ind w:left="0" w:right="0" w:hanging="0"/>
              <w:rPr/>
            </w:pPr>
            <w:r>
              <w:rPr/>
              <w:t>​</w:t>
            </w:r>
          </w:p>
        </w:tc>
        <w:tc>
          <w:tcPr>
            <w:tcW w:w="11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Weighted average number of shares outstanding (thousand shares)</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5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109"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r>
      <w:tr>
        <w:trPr/>
        <w:tc>
          <w:tcPr>
            <w:tcW w:w="5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12,977,177</w:t>
            </w:r>
          </w:p>
        </w:tc>
        <w:tc>
          <w:tcPr>
            <w:tcW w:w="109"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12,662,126</w:t>
            </w:r>
          </w:p>
        </w:tc>
      </w:tr>
    </w:tbl>
    <w:p>
      <w:pPr>
        <w:pStyle w:val="TextBody"/>
        <w:spacing w:before="0" w:after="240"/>
        <w:ind w:left="0" w:right="0" w:hanging="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18" w:name="_ce2ebf76_4d02_4345_991c_1a08e87c7161"/>
      <w:bookmarkEnd w:id="318"/>
      <w:r>
        <w:rPr>
          <w:rFonts w:ascii="Times New Roman;Times;serif" w:hAnsi="Times New Roman;Times;serif"/>
          <w:b/>
          <w:sz w:val="20"/>
        </w:rPr>
        <w:t>BITDEER TECHNOLOGIES HOLDING COMPANY AND SUBSIDIARIES</w:t>
      </w:r>
    </w:p>
    <w:p>
      <w:pPr>
        <w:pStyle w:val="TextBody"/>
        <w:spacing w:before="0" w:after="0"/>
        <w:ind w:left="0" w:right="0" w:hanging="0"/>
        <w:jc w:val="center"/>
        <w:rPr>
          <w:rFonts w:ascii="Times New Roman;Times;serif" w:hAnsi="Times New Roman;Times;serif"/>
          <w:b/>
          <w:sz w:val="20"/>
        </w:rPr>
      </w:pPr>
      <w:bookmarkStart w:id="319" w:name="CONSOLIDATEDSTATEMENTSOFCHANGESININVESTE"/>
      <w:bookmarkEnd w:id="319"/>
      <w:r>
        <w:rPr>
          <w:rFonts w:ascii="Times New Roman;Times;serif" w:hAnsi="Times New Roman;Times;serif"/>
          <w:b/>
          <w:sz w:val="20"/>
        </w:rPr>
        <w:t>CONSOLIDATED STATEMENTS OF CHANGES IN EQUITY</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tables are stated in thousands of U.S. Dollar)</w:t>
      </w:r>
    </w:p>
    <w:p>
      <w:pPr>
        <w:pStyle w:val="Normal"/>
        <w:spacing w:before="0" w:after="0"/>
        <w:rPr>
          <w:sz w:val="4"/>
          <w:szCs w:val="4"/>
        </w:rPr>
      </w:pPr>
      <w:r>
        <w:rPr>
          <w:sz w:val="4"/>
          <w:szCs w:val="4"/>
        </w:rPr>
      </w:r>
      <w:bookmarkStart w:id="320" w:name="Tc_Sf8Qr2kb7kab7pXB8AO2bg_20_12"/>
      <w:bookmarkStart w:id="321" w:name="Tc_hYyVT4PQjkqQWpFxJXtSJQ_20_0"/>
      <w:bookmarkStart w:id="322" w:name="Tc_rDMq_DnW8kSSykjMyt-otw_19_12"/>
      <w:bookmarkStart w:id="323" w:name="Tc_bBIigbXUm02Xj064IcXYKg_19_8"/>
      <w:bookmarkStart w:id="324" w:name="Tc_dGyUlwk0Q0KFSPdOdk4ypQ_19_6"/>
      <w:bookmarkStart w:id="325" w:name="Tc_i1Bm99TEYkqAJpfMpySd4Q_19_4"/>
      <w:bookmarkStart w:id="326" w:name="Tc_W4-Kvle-10iOOM18axa3Gw_19_2"/>
      <w:bookmarkStart w:id="327" w:name="Tc_xklpHiJ_t0OrKwTZWpg9Lg_19_0"/>
      <w:bookmarkStart w:id="328" w:name="Tc_q78Tgc3koki6dCj_r-aM2g_18_12"/>
      <w:bookmarkStart w:id="329" w:name="Tc_cvpEhnmR9EKV-MPwrWPcRw_18_10"/>
      <w:bookmarkStart w:id="330" w:name="Tc_qOBW4kQGKESgTe4najwPhg_18_6"/>
      <w:bookmarkStart w:id="331" w:name="Tc_AY2BUn1NYEi-7PoxR7wxWQ_18_4"/>
      <w:bookmarkStart w:id="332" w:name="Tc_U8FxBbc0ZUCGyJ7u4kTrRA_18_0"/>
      <w:bookmarkStart w:id="333" w:name="Tc_T0Uw7MK5OU6Ezi_BXsthOg_17_12"/>
      <w:bookmarkStart w:id="334" w:name="Tc_O-vEpZ-POEWBCdRBr9OogA_17_10"/>
      <w:bookmarkStart w:id="335" w:name="Tc_yQtzx1Sn5ku_2yLPteIX9A_17_8"/>
      <w:bookmarkStart w:id="336" w:name="Tc_mL1rgE28okqwygYKOyLR5g_17_4"/>
      <w:bookmarkStart w:id="337" w:name="Tc_cfbISHeOGE-0E733bOxwjg_17_0"/>
      <w:bookmarkStart w:id="338" w:name="Tc_jLzZL3XtSUaAFewjeQkmTQ_16_12"/>
      <w:bookmarkStart w:id="339" w:name="Tc_VoUh8gJ3_kCcweV-LMyFbA_16_0"/>
      <w:bookmarkStart w:id="340" w:name="Tc_srqrMsc5RkSkvVhxfBJrjw_15_14"/>
      <w:bookmarkStart w:id="341" w:name="Tc_0B7usH-9OkeMg2qMo_vPrw_15_8"/>
      <w:bookmarkStart w:id="342" w:name="Tc_GvgccOOf-0eeEP8ysrCUvQ_15_6"/>
      <w:bookmarkStart w:id="343" w:name="Tc_4y_BwHSgTE28wyXp8zye9Q_15_4"/>
      <w:bookmarkStart w:id="344" w:name="Tc_ubEg95b5lEeYWTCJGOE-Rw_15_0"/>
      <w:bookmarkStart w:id="345" w:name="Tc_C2sNg4cf1UGhWci92fUfCw_14_10"/>
      <w:bookmarkStart w:id="346" w:name="Tc_3CQvy6jhx0SPgxrnMYMBKQ_14_8"/>
      <w:bookmarkStart w:id="347" w:name="Tc_jhhgERwn-UanAhl7UnYyFg_14_6"/>
      <w:bookmarkStart w:id="348" w:name="Tc_rhdfhdsDiE6Z3bNk5ky24w_14_4"/>
      <w:bookmarkStart w:id="349" w:name="Tc_bk7SXtp0hUqiz9EoRunMRw_14_0"/>
      <w:bookmarkStart w:id="350" w:name="Tc_VXBsEzi1FECw-wL2dJVqpg_13_12"/>
      <w:bookmarkStart w:id="351" w:name="Tc_tR3ofQLzXkmNkJyv5Uu4aA_13_8"/>
      <w:bookmarkStart w:id="352" w:name="Tc_EOzeJdXGPkurfZyY2cqhPw_13_6"/>
      <w:bookmarkStart w:id="353" w:name="Tc_WTOlCK4mX0KKzWvRo58JuA_13_4"/>
      <w:bookmarkStart w:id="354" w:name="Tc_fG4tDpzqIUmZQxNH0YR-VQ_13_2"/>
      <w:bookmarkStart w:id="355" w:name="Tc_Fy1gYRaopkquutPNcoQ2sA_13_0"/>
      <w:bookmarkStart w:id="356" w:name="Tc_ilUd-VcSQUW18qDLTVINjw_12_12"/>
      <w:bookmarkStart w:id="357" w:name="Tc_yaltigHWkUefffrZ5tmufg_12_8"/>
      <w:bookmarkStart w:id="358" w:name="Tc_KUPoR4gWk0OZGC4OyMf2pg_12_6"/>
      <w:bookmarkStart w:id="359" w:name="Tc_TXBA0709Cke4yP9dswQTRA_12_4"/>
      <w:bookmarkStart w:id="360" w:name="Tc_MFYjT44-d0Oei_O4fw0pCQ_12_2"/>
      <w:bookmarkStart w:id="361" w:name="Tc_mscn1U8qWUmVsGwWiYiqsg_12_0"/>
      <w:bookmarkStart w:id="362" w:name="Tc_TKox66yZ6ES50dIEH9WvvQ_11_14"/>
      <w:bookmarkStart w:id="363" w:name="Tc_jA7THGsOaki2o8YTQKl_0w_11_12"/>
      <w:bookmarkStart w:id="364" w:name="Tc_WA23rdOxnUKDzFmLsWreAA_11_8"/>
      <w:bookmarkStart w:id="365" w:name="Tc_axSW9C591UuB_7tzbqsZug_11_6"/>
      <w:bookmarkStart w:id="366" w:name="Tc_zB1jIiSNyEWWUsvYQgngJg_11_0"/>
      <w:bookmarkStart w:id="367" w:name="Tc_sunp5WJoYEG3X5L9vwBanw_10_12"/>
      <w:bookmarkStart w:id="368" w:name="Tc_qnY0P40HG0GQYjblUgh3ow_10_10"/>
      <w:bookmarkStart w:id="369" w:name="Tc_u9FqjOEVjk6IeiihwwYPpA_10_6"/>
      <w:bookmarkStart w:id="370" w:name="Tc_WVEA72Lan0mqBfDb-lzFzg_10_4"/>
      <w:bookmarkStart w:id="371" w:name="Tc_AhlHhHzLbEq794pfMBaU9A_10_0"/>
      <w:bookmarkStart w:id="372" w:name="Tc_W1ULxXdqhEeKXCJeUlpfjA_9_10"/>
      <w:bookmarkStart w:id="373" w:name="Tc_U8_xJ31ra0-z4aQ4OIfW-w_9_8"/>
      <w:bookmarkStart w:id="374" w:name="Tc_D1er0W8GWUS7yXsjZelMew_9_4"/>
      <w:bookmarkStart w:id="375" w:name="Tc_zZluso1Db0i1J0Jt7EIbwg_9_0"/>
      <w:bookmarkStart w:id="376" w:name="Tc_8B68EnDFyUaufNZ1sFvMhQ_8_10"/>
      <w:bookmarkStart w:id="377" w:name="Tc_m2VnE2zes0aqEyIun7WRzA_8_8"/>
      <w:bookmarkStart w:id="378" w:name="Tc_QD9io1-WqkaFj-r4fGbRMg_8_6"/>
      <w:bookmarkStart w:id="379" w:name="Tc_60jSwEsK4UKxlMtrw-4PQA_8_4"/>
      <w:bookmarkStart w:id="380" w:name="Tc_y-CGB6f3RUKgZdFF8FSDvw_8_0"/>
      <w:bookmarkStart w:id="381" w:name="Tc_061NdJWZjkSj4eISbMXyDg_7_10"/>
      <w:bookmarkStart w:id="382" w:name="Tc_91zHQdejc0mtYQ_RkcOcJA_7_8"/>
      <w:bookmarkStart w:id="383" w:name="Tc_7xWG-HN01Ui3jWJk3wHbJw_7_6"/>
      <w:bookmarkStart w:id="384" w:name="Tc_4IH5xTnx7Eeb7u3Em1ZLQA_7_4"/>
      <w:bookmarkStart w:id="385" w:name="Tc_01muI07QNU6yiIvFTfyBzA_7_0"/>
      <w:bookmarkStart w:id="386" w:name="Tc_42MFhMcN5EisXuj1HxNtmA_6_10"/>
      <w:bookmarkStart w:id="387" w:name="Tc_sog17vdSK0W9xtDwm8ByKw_6_8"/>
      <w:bookmarkStart w:id="388" w:name="Tc_eIdN7WXRlUubkv9DY4iphg_6_6"/>
      <w:bookmarkStart w:id="389" w:name="Tc_9s3lVZe-00eeelXn2QVSFg_6_4"/>
      <w:bookmarkStart w:id="390" w:name="Tc_v9qWaEQX60CATiXLs3anfQ_6_0"/>
      <w:bookmarkStart w:id="391" w:name="Tc_noBvvXazPEuxbyCYy-1N8w_5_10"/>
      <w:bookmarkStart w:id="392" w:name="Tc_HzsV6snwwESxV4_q2n0CDg_5_8"/>
      <w:bookmarkStart w:id="393" w:name="Tc_p2dld8DPMkSJPym1IWEFPA_5_6"/>
      <w:bookmarkStart w:id="394" w:name="Tc_iIEwqpSIikGw4lxk-DPcSg_5_4"/>
      <w:bookmarkStart w:id="395" w:name="Tc_t1LByxvfXkmQddrB0TxO7g_5_0"/>
      <w:bookmarkStart w:id="396" w:name="Tc_PERoTTn0iEePCau6oFUVGA_4_10"/>
      <w:bookmarkStart w:id="397" w:name="Tc_QKZeCiTmekCNGXOBhpx3DQ_4_8"/>
      <w:bookmarkStart w:id="398" w:name="Tc_85qCNoGy-E-_HFoxcluSdA_4_6"/>
      <w:bookmarkStart w:id="399" w:name="Tc_SjVsMZcd2UaCdCnDJ3MQpQ_4_4"/>
      <w:bookmarkStart w:id="400" w:name="Tc_mS-c1wBs4EWm4mWOHnJCXA_4_0"/>
      <w:bookmarkStart w:id="401" w:name="Tc_68hxhnsM2Eytu--58oUPEw_3_10"/>
      <w:bookmarkStart w:id="402" w:name="Tc_si-gDKSyLECJyFFTjN64kg_3_8"/>
      <w:bookmarkStart w:id="403" w:name="Tc_HKXQLK0ET0-14ueH1qW83Q_3_6"/>
      <w:bookmarkStart w:id="404" w:name="Tc_cxnwlNHGWkmqxtg_O91IXQ_3_4"/>
      <w:bookmarkStart w:id="405" w:name="Tc_a3YLJqPqykKAaBhp1bHrDA_3_0"/>
      <w:bookmarkStart w:id="406" w:name="Tc_f6jouKR-xkqyox1Xj62nNQ_2_14"/>
      <w:bookmarkStart w:id="407" w:name="Tc_UDRzTdGREkWScsrNqMFPwQ_2_12"/>
      <w:bookmarkStart w:id="408" w:name="Tc_xqhPZHTo3UCctEAHiGZtiA_2_10"/>
      <w:bookmarkStart w:id="409" w:name="Tc_dXDAlHVGzkC32gFHxWGc0g_2_8"/>
      <w:bookmarkStart w:id="410" w:name="Tc_rH2poXFmT0Sp_7kqR9CtUQ_2_6"/>
      <w:bookmarkStart w:id="411" w:name="Tc_KISvSsGbckWBifWZdCXCsA_2_4"/>
      <w:bookmarkStart w:id="412" w:name="Tc_xuMu9AOU70u5In3-SyhlMA_2_2"/>
      <w:bookmarkStart w:id="413" w:name="Tc_794JRaLaZUKCi4w8LIQQbQ_1_12"/>
      <w:bookmarkStart w:id="414" w:name="Tc_TvTWWxIuf0u6-mBJN7cc3Q_1_10"/>
      <w:bookmarkStart w:id="415" w:name="Tc_O1NNEwPD6Uyz98K5A6g2WA_1_8"/>
      <w:bookmarkStart w:id="416" w:name="Tc_7GQxPQYSkU-UzHqgb8DB7g_1_6"/>
      <w:bookmarkStart w:id="417" w:name="Tc_gQixFLxhGUGXXkNPlBuebQ_1_4"/>
      <w:bookmarkStart w:id="418" w:name="_15b7c24c_8180_4a3c_830a_334856e12a02"/>
      <w:bookmarkStart w:id="419" w:name="Tc_Sf8Qr2kb7kab7pXB8AO2bg_20_12"/>
      <w:bookmarkStart w:id="420" w:name="Tc_hYyVT4PQjkqQWpFxJXtSJQ_20_0"/>
      <w:bookmarkStart w:id="421" w:name="Tc_rDMq_DnW8kSSykjMyt-otw_19_12"/>
      <w:bookmarkStart w:id="422" w:name="Tc_bBIigbXUm02Xj064IcXYKg_19_8"/>
      <w:bookmarkStart w:id="423" w:name="Tc_dGyUlwk0Q0KFSPdOdk4ypQ_19_6"/>
      <w:bookmarkStart w:id="424" w:name="Tc_i1Bm99TEYkqAJpfMpySd4Q_19_4"/>
      <w:bookmarkStart w:id="425" w:name="Tc_W4-Kvle-10iOOM18axa3Gw_19_2"/>
      <w:bookmarkStart w:id="426" w:name="Tc_xklpHiJ_t0OrKwTZWpg9Lg_19_0"/>
      <w:bookmarkStart w:id="427" w:name="Tc_q78Tgc3koki6dCj_r-aM2g_18_12"/>
      <w:bookmarkStart w:id="428" w:name="Tc_cvpEhnmR9EKV-MPwrWPcRw_18_10"/>
      <w:bookmarkStart w:id="429" w:name="Tc_qOBW4kQGKESgTe4najwPhg_18_6"/>
      <w:bookmarkStart w:id="430" w:name="Tc_AY2BUn1NYEi-7PoxR7wxWQ_18_4"/>
      <w:bookmarkStart w:id="431" w:name="Tc_U8FxBbc0ZUCGyJ7u4kTrRA_18_0"/>
      <w:bookmarkStart w:id="432" w:name="Tc_T0Uw7MK5OU6Ezi_BXsthOg_17_12"/>
      <w:bookmarkStart w:id="433" w:name="Tc_O-vEpZ-POEWBCdRBr9OogA_17_10"/>
      <w:bookmarkStart w:id="434" w:name="Tc_yQtzx1Sn5ku_2yLPteIX9A_17_8"/>
      <w:bookmarkStart w:id="435" w:name="Tc_mL1rgE28okqwygYKOyLR5g_17_4"/>
      <w:bookmarkStart w:id="436" w:name="Tc_cfbISHeOGE-0E733bOxwjg_17_0"/>
      <w:bookmarkStart w:id="437" w:name="Tc_jLzZL3XtSUaAFewjeQkmTQ_16_12"/>
      <w:bookmarkStart w:id="438" w:name="Tc_VoUh8gJ3_kCcweV-LMyFbA_16_0"/>
      <w:bookmarkStart w:id="439" w:name="Tc_srqrMsc5RkSkvVhxfBJrjw_15_14"/>
      <w:bookmarkStart w:id="440" w:name="Tc_0B7usH-9OkeMg2qMo_vPrw_15_8"/>
      <w:bookmarkStart w:id="441" w:name="Tc_GvgccOOf-0eeEP8ysrCUvQ_15_6"/>
      <w:bookmarkStart w:id="442" w:name="Tc_4y_BwHSgTE28wyXp8zye9Q_15_4"/>
      <w:bookmarkStart w:id="443" w:name="Tc_ubEg95b5lEeYWTCJGOE-Rw_15_0"/>
      <w:bookmarkStart w:id="444" w:name="Tc_C2sNg4cf1UGhWci92fUfCw_14_10"/>
      <w:bookmarkStart w:id="445" w:name="Tc_3CQvy6jhx0SPgxrnMYMBKQ_14_8"/>
      <w:bookmarkStart w:id="446" w:name="Tc_jhhgERwn-UanAhl7UnYyFg_14_6"/>
      <w:bookmarkStart w:id="447" w:name="Tc_rhdfhdsDiE6Z3bNk5ky24w_14_4"/>
      <w:bookmarkStart w:id="448" w:name="Tc_bk7SXtp0hUqiz9EoRunMRw_14_0"/>
      <w:bookmarkStart w:id="449" w:name="Tc_VXBsEzi1FECw-wL2dJVqpg_13_12"/>
      <w:bookmarkStart w:id="450" w:name="Tc_tR3ofQLzXkmNkJyv5Uu4aA_13_8"/>
      <w:bookmarkStart w:id="451" w:name="Tc_EOzeJdXGPkurfZyY2cqhPw_13_6"/>
      <w:bookmarkStart w:id="452" w:name="Tc_WTOlCK4mX0KKzWvRo58JuA_13_4"/>
      <w:bookmarkStart w:id="453" w:name="Tc_fG4tDpzqIUmZQxNH0YR-VQ_13_2"/>
      <w:bookmarkStart w:id="454" w:name="Tc_Fy1gYRaopkquutPNcoQ2sA_13_0"/>
      <w:bookmarkStart w:id="455" w:name="Tc_ilUd-VcSQUW18qDLTVINjw_12_12"/>
      <w:bookmarkStart w:id="456" w:name="Tc_yaltigHWkUefffrZ5tmufg_12_8"/>
      <w:bookmarkStart w:id="457" w:name="Tc_KUPoR4gWk0OZGC4OyMf2pg_12_6"/>
      <w:bookmarkStart w:id="458" w:name="Tc_TXBA0709Cke4yP9dswQTRA_12_4"/>
      <w:bookmarkStart w:id="459" w:name="Tc_MFYjT44-d0Oei_O4fw0pCQ_12_2"/>
      <w:bookmarkStart w:id="460" w:name="Tc_mscn1U8qWUmVsGwWiYiqsg_12_0"/>
      <w:bookmarkStart w:id="461" w:name="Tc_TKox66yZ6ES50dIEH9WvvQ_11_14"/>
      <w:bookmarkStart w:id="462" w:name="Tc_jA7THGsOaki2o8YTQKl_0w_11_12"/>
      <w:bookmarkStart w:id="463" w:name="Tc_WA23rdOxnUKDzFmLsWreAA_11_8"/>
      <w:bookmarkStart w:id="464" w:name="Tc_axSW9C591UuB_7tzbqsZug_11_6"/>
      <w:bookmarkStart w:id="465" w:name="Tc_zB1jIiSNyEWWUsvYQgngJg_11_0"/>
      <w:bookmarkStart w:id="466" w:name="Tc_sunp5WJoYEG3X5L9vwBanw_10_12"/>
      <w:bookmarkStart w:id="467" w:name="Tc_qnY0P40HG0GQYjblUgh3ow_10_10"/>
      <w:bookmarkStart w:id="468" w:name="Tc_u9FqjOEVjk6IeiihwwYPpA_10_6"/>
      <w:bookmarkStart w:id="469" w:name="Tc_WVEA72Lan0mqBfDb-lzFzg_10_4"/>
      <w:bookmarkStart w:id="470" w:name="Tc_AhlHhHzLbEq794pfMBaU9A_10_0"/>
      <w:bookmarkStart w:id="471" w:name="Tc_W1ULxXdqhEeKXCJeUlpfjA_9_10"/>
      <w:bookmarkStart w:id="472" w:name="Tc_U8_xJ31ra0-z4aQ4OIfW-w_9_8"/>
      <w:bookmarkStart w:id="473" w:name="Tc_D1er0W8GWUS7yXsjZelMew_9_4"/>
      <w:bookmarkStart w:id="474" w:name="Tc_zZluso1Db0i1J0Jt7EIbwg_9_0"/>
      <w:bookmarkStart w:id="475" w:name="Tc_8B68EnDFyUaufNZ1sFvMhQ_8_10"/>
      <w:bookmarkStart w:id="476" w:name="Tc_m2VnE2zes0aqEyIun7WRzA_8_8"/>
      <w:bookmarkStart w:id="477" w:name="Tc_QD9io1-WqkaFj-r4fGbRMg_8_6"/>
      <w:bookmarkStart w:id="478" w:name="Tc_60jSwEsK4UKxlMtrw-4PQA_8_4"/>
      <w:bookmarkStart w:id="479" w:name="Tc_y-CGB6f3RUKgZdFF8FSDvw_8_0"/>
      <w:bookmarkStart w:id="480" w:name="Tc_061NdJWZjkSj4eISbMXyDg_7_10"/>
      <w:bookmarkStart w:id="481" w:name="Tc_91zHQdejc0mtYQ_RkcOcJA_7_8"/>
      <w:bookmarkStart w:id="482" w:name="Tc_7xWG-HN01Ui3jWJk3wHbJw_7_6"/>
      <w:bookmarkStart w:id="483" w:name="Tc_4IH5xTnx7Eeb7u3Em1ZLQA_7_4"/>
      <w:bookmarkStart w:id="484" w:name="Tc_01muI07QNU6yiIvFTfyBzA_7_0"/>
      <w:bookmarkStart w:id="485" w:name="Tc_42MFhMcN5EisXuj1HxNtmA_6_10"/>
      <w:bookmarkStart w:id="486" w:name="Tc_sog17vdSK0W9xtDwm8ByKw_6_8"/>
      <w:bookmarkStart w:id="487" w:name="Tc_eIdN7WXRlUubkv9DY4iphg_6_6"/>
      <w:bookmarkStart w:id="488" w:name="Tc_9s3lVZe-00eeelXn2QVSFg_6_4"/>
      <w:bookmarkStart w:id="489" w:name="Tc_v9qWaEQX60CATiXLs3anfQ_6_0"/>
      <w:bookmarkStart w:id="490" w:name="Tc_noBvvXazPEuxbyCYy-1N8w_5_10"/>
      <w:bookmarkStart w:id="491" w:name="Tc_HzsV6snwwESxV4_q2n0CDg_5_8"/>
      <w:bookmarkStart w:id="492" w:name="Tc_p2dld8DPMkSJPym1IWEFPA_5_6"/>
      <w:bookmarkStart w:id="493" w:name="Tc_iIEwqpSIikGw4lxk-DPcSg_5_4"/>
      <w:bookmarkStart w:id="494" w:name="Tc_t1LByxvfXkmQddrB0TxO7g_5_0"/>
      <w:bookmarkStart w:id="495" w:name="Tc_PERoTTn0iEePCau6oFUVGA_4_10"/>
      <w:bookmarkStart w:id="496" w:name="Tc_QKZeCiTmekCNGXOBhpx3DQ_4_8"/>
      <w:bookmarkStart w:id="497" w:name="Tc_85qCNoGy-E-_HFoxcluSdA_4_6"/>
      <w:bookmarkStart w:id="498" w:name="Tc_SjVsMZcd2UaCdCnDJ3MQpQ_4_4"/>
      <w:bookmarkStart w:id="499" w:name="Tc_mS-c1wBs4EWm4mWOHnJCXA_4_0"/>
      <w:bookmarkStart w:id="500" w:name="Tc_68hxhnsM2Eytu--58oUPEw_3_10"/>
      <w:bookmarkStart w:id="501" w:name="Tc_si-gDKSyLECJyFFTjN64kg_3_8"/>
      <w:bookmarkStart w:id="502" w:name="Tc_HKXQLK0ET0-14ueH1qW83Q_3_6"/>
      <w:bookmarkStart w:id="503" w:name="Tc_cxnwlNHGWkmqxtg_O91IXQ_3_4"/>
      <w:bookmarkStart w:id="504" w:name="Tc_a3YLJqPqykKAaBhp1bHrDA_3_0"/>
      <w:bookmarkStart w:id="505" w:name="Tc_f6jouKR-xkqyox1Xj62nNQ_2_14"/>
      <w:bookmarkStart w:id="506" w:name="Tc_UDRzTdGREkWScsrNqMFPwQ_2_12"/>
      <w:bookmarkStart w:id="507" w:name="Tc_xqhPZHTo3UCctEAHiGZtiA_2_10"/>
      <w:bookmarkStart w:id="508" w:name="Tc_dXDAlHVGzkC32gFHxWGc0g_2_8"/>
      <w:bookmarkStart w:id="509" w:name="Tc_rH2poXFmT0Sp_7kqR9CtUQ_2_6"/>
      <w:bookmarkStart w:id="510" w:name="Tc_KISvSsGbckWBifWZdCXCsA_2_4"/>
      <w:bookmarkStart w:id="511" w:name="Tc_xuMu9AOU70u5In3-SyhlMA_2_2"/>
      <w:bookmarkStart w:id="512" w:name="Tc_794JRaLaZUKCi4w8LIQQbQ_1_12"/>
      <w:bookmarkStart w:id="513" w:name="Tc_TvTWWxIuf0u6-mBJN7cc3Q_1_10"/>
      <w:bookmarkStart w:id="514" w:name="Tc_O1NNEwPD6Uyz98K5A6g2WA_1_8"/>
      <w:bookmarkStart w:id="515" w:name="Tc_7GQxPQYSkU-UzHqgb8DB7g_1_6"/>
      <w:bookmarkStart w:id="516" w:name="Tc_gQixFLxhGUGXXkNPlBuebQ_1_4"/>
      <w:bookmarkStart w:id="517" w:name="_15b7c24c_8180_4a3c_830a_334856e12a02"/>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tbl>
      <w:tblPr>
        <w:tblW w:w="10205" w:type="dxa"/>
        <w:jc w:val="left"/>
        <w:tblInd w:w="0" w:type="dxa"/>
        <w:tblCellMar>
          <w:top w:w="0" w:type="dxa"/>
          <w:left w:w="0" w:type="dxa"/>
          <w:bottom w:w="0" w:type="dxa"/>
          <w:right w:w="0" w:type="dxa"/>
        </w:tblCellMar>
      </w:tblPr>
      <w:tblGrid>
        <w:gridCol w:w="3834"/>
        <w:gridCol w:w="326"/>
        <w:gridCol w:w="451"/>
        <w:gridCol w:w="109"/>
        <w:gridCol w:w="646"/>
        <w:gridCol w:w="109"/>
        <w:gridCol w:w="786"/>
        <w:gridCol w:w="109"/>
        <w:gridCol w:w="811"/>
        <w:gridCol w:w="109"/>
        <w:gridCol w:w="781"/>
        <w:gridCol w:w="109"/>
        <w:gridCol w:w="888"/>
        <w:gridCol w:w="109"/>
        <w:gridCol w:w="1028"/>
      </w:tblGrid>
      <w:tr>
        <w:trPr/>
        <w:tc>
          <w:tcPr>
            <w:tcW w:w="38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88"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28" w:type="dxa"/>
            <w:tcBorders/>
            <w:shd w:fill="auto" w:val="clear"/>
            <w:vAlign w:val="center"/>
          </w:tcPr>
          <w:p>
            <w:pPr>
              <w:pStyle w:val="TableContents"/>
              <w:spacing w:before="0" w:after="1"/>
              <w:ind w:left="0" w:right="0" w:hanging="0"/>
              <w:rPr/>
            </w:pPr>
            <w:r>
              <w:rPr/>
              <w:t>​</w:t>
            </w:r>
          </w:p>
        </w:tc>
      </w:tr>
      <w:tr>
        <w:trPr/>
        <w:tc>
          <w:tcPr>
            <w:tcW w:w="38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6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109" w:type="dxa"/>
            <w:tcBorders/>
            <w:shd w:fill="auto" w:val="clear"/>
            <w:vAlign w:val="center"/>
          </w:tcPr>
          <w:p>
            <w:pPr>
              <w:pStyle w:val="TableContents"/>
              <w:spacing w:before="0" w:after="1"/>
              <w:ind w:left="0" w:right="0" w:hanging="0"/>
              <w:jc w:val="center"/>
              <w:rPr/>
            </w:pPr>
            <w:r>
              <w:rPr/>
              <w:t>​</w:t>
            </w:r>
          </w:p>
        </w:tc>
        <w:tc>
          <w:tcPr>
            <w:tcW w:w="7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109"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1"/>
              <w:ind w:left="0" w:right="0" w:hanging="0"/>
              <w:jc w:val="center"/>
              <w:rPr/>
            </w:pPr>
            <w:r>
              <w:rPr/>
              <w:t>​</w:t>
            </w:r>
          </w:p>
        </w:tc>
        <w:tc>
          <w:tcPr>
            <w:tcW w:w="88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Invested </w:t>
            </w:r>
          </w:p>
        </w:tc>
        <w:tc>
          <w:tcPr>
            <w:tcW w:w="109" w:type="dxa"/>
            <w:tcBorders/>
            <w:shd w:fill="auto" w:val="clear"/>
            <w:vAlign w:val="center"/>
          </w:tcPr>
          <w:p>
            <w:pPr>
              <w:pStyle w:val="TableContents"/>
              <w:spacing w:before="0" w:after="1"/>
              <w:ind w:left="0" w:right="0" w:hanging="0"/>
              <w:jc w:val="center"/>
              <w:rPr/>
            </w:pPr>
            <w:r>
              <w:rPr/>
              <w:t>​</w:t>
            </w:r>
          </w:p>
        </w:tc>
        <w:tc>
          <w:tcPr>
            <w:tcW w:w="1028" w:type="dxa"/>
            <w:tcBorders/>
            <w:shd w:fill="auto" w:val="clear"/>
            <w:vAlign w:val="center"/>
          </w:tcPr>
          <w:p>
            <w:pPr>
              <w:pStyle w:val="TableContents"/>
              <w:spacing w:before="0" w:after="1"/>
              <w:ind w:left="0" w:right="0" w:hanging="0"/>
              <w:jc w:val="center"/>
              <w:rPr/>
            </w:pPr>
            <w:r>
              <w:rPr/>
              <w:t>​</w:t>
            </w:r>
          </w:p>
        </w:tc>
      </w:tr>
      <w:tr>
        <w:trPr/>
        <w:tc>
          <w:tcPr>
            <w:tcW w:w="38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109" w:type="dxa"/>
            <w:tcBorders/>
            <w:shd w:fill="auto" w:val="clear"/>
            <w:vAlign w:val="center"/>
          </w:tcPr>
          <w:p>
            <w:pPr>
              <w:pStyle w:val="TableContents"/>
              <w:spacing w:before="0" w:after="1"/>
              <w:ind w:left="0" w:right="0" w:hanging="0"/>
              <w:jc w:val="center"/>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shd w:fill="auto" w:val="clear"/>
            <w:vAlign w:val="center"/>
          </w:tcPr>
          <w:p>
            <w:pPr>
              <w:pStyle w:val="TableContents"/>
              <w:spacing w:before="0" w:after="1"/>
              <w:ind w:left="0" w:right="0" w:hanging="0"/>
              <w:jc w:val="center"/>
              <w:rPr/>
            </w:pPr>
            <w:r>
              <w:rPr/>
              <w:t>​</w:t>
            </w:r>
          </w:p>
        </w:tc>
        <w:tc>
          <w:tcPr>
            <w:tcW w:w="7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shd w:fill="auto" w:val="clear"/>
            <w:vAlign w:val="center"/>
          </w:tcPr>
          <w:p>
            <w:pPr>
              <w:pStyle w:val="TableContents"/>
              <w:spacing w:before="0" w:after="1"/>
              <w:ind w:left="0" w:right="0" w:hanging="0"/>
              <w:jc w:val="center"/>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109"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109" w:type="dxa"/>
            <w:tcBorders/>
            <w:shd w:fill="auto" w:val="clear"/>
            <w:vAlign w:val="center"/>
          </w:tcPr>
          <w:p>
            <w:pPr>
              <w:pStyle w:val="TableContents"/>
              <w:spacing w:before="0" w:after="1"/>
              <w:ind w:left="0" w:right="0" w:hanging="0"/>
              <w:jc w:val="center"/>
              <w:rPr/>
            </w:pPr>
            <w:r>
              <w:rPr/>
              <w:t>​</w:t>
            </w:r>
          </w:p>
        </w:tc>
        <w:tc>
          <w:tcPr>
            <w:tcW w:w="88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shd w:fill="auto" w:val="clear"/>
            <w:vAlign w:val="center"/>
          </w:tcPr>
          <w:p>
            <w:pPr>
              <w:pStyle w:val="TableContents"/>
              <w:spacing w:before="0" w:after="1"/>
              <w:ind w:left="0" w:right="0" w:hanging="0"/>
              <w:jc w:val="center"/>
              <w:rPr/>
            </w:pPr>
            <w:r>
              <w:rPr/>
              <w:t>​</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Equity</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January 1, 2020</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(61,618)</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(61,618)</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for the year</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(55,826)</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(55,826)</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Capital contribution received from related party</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420,000</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420,000</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distribution to related parties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(157,557)</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(157,557)</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December 31, 2020 and January 1, 2021</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145,904</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145,904</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Profit for the year</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67,169</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15,474</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82,643</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Capital share allotment relating to the Reorganization</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shd w:fill="CCEEFF" w:val="clear"/>
            <w:vAlign w:val="center"/>
          </w:tcPr>
          <w:p>
            <w:pPr>
              <w:pStyle w:val="TableContents"/>
              <w:spacing w:before="0" w:after="1"/>
              <w:ind w:left="0" w:right="0" w:hanging="0"/>
              <w:jc w:val="right"/>
              <w:rPr/>
            </w:pPr>
            <w:r>
              <w:rPr/>
              <w:t>—</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88,355</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88,355</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Recognition of equity component of convertible debt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distribution to related parties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(29,311)</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(29,311)</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Reclassification of invested capital</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132,067</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(132,067)</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December 31, 2021 and January 1, 2022</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67,169</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(195)</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221,104</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288,079</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for the year</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(60,366)</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8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spacing w:before="0" w:after="1"/>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90,648</w:t>
            </w:r>
          </w:p>
        </w:tc>
        <w:tc>
          <w:tcPr>
            <w:tcW w:w="109" w:type="dxa"/>
            <w:tcBorders/>
            <w:shd w:fill="CCEEFF" w:val="clear"/>
            <w:vAlign w:val="center"/>
          </w:tcPr>
          <w:p>
            <w:pPr>
              <w:pStyle w:val="TableContents"/>
              <w:spacing w:before="0" w:after="1"/>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90,648</w:t>
            </w:r>
          </w:p>
        </w:tc>
      </w:tr>
      <w:tr>
        <w:trPr/>
        <w:tc>
          <w:tcPr>
            <w:tcW w:w="3834"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109" w:type="dxa"/>
            <w:tcBorders/>
            <w:shd w:fill="auto" w:val="clear"/>
            <w:vAlign w:val="center"/>
          </w:tcPr>
          <w:p>
            <w:pPr>
              <w:pStyle w:val="TableContents"/>
              <w:spacing w:before="0" w:after="1"/>
              <w:ind w:left="0" w:right="0" w:hanging="0"/>
              <w:jc w:val="right"/>
              <w:rPr/>
            </w:pPr>
            <w:r>
              <w:rPr/>
              <w:t>​</w:t>
            </w:r>
          </w:p>
        </w:tc>
        <w:tc>
          <w:tcPr>
            <w:tcW w:w="7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6,803</w:t>
            </w:r>
          </w:p>
        </w:tc>
        <w:tc>
          <w:tcPr>
            <w:tcW w:w="109" w:type="dxa"/>
            <w:tcBorders/>
            <w:shd w:fill="auto" w:val="clear"/>
            <w:vAlign w:val="center"/>
          </w:tcPr>
          <w:p>
            <w:pPr>
              <w:pStyle w:val="TableContents"/>
              <w:spacing w:before="0" w:after="1"/>
              <w:ind w:left="0" w:right="0" w:hanging="0"/>
              <w:jc w:val="right"/>
              <w:rPr/>
            </w:pPr>
            <w:r>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311,752</w:t>
            </w:r>
          </w:p>
        </w:tc>
        <w:tc>
          <w:tcPr>
            <w:tcW w:w="109" w:type="dxa"/>
            <w:tcBorders/>
            <w:shd w:fill="auto" w:val="clear"/>
            <w:vAlign w:val="center"/>
          </w:tcPr>
          <w:p>
            <w:pPr>
              <w:pStyle w:val="TableContents"/>
              <w:spacing w:before="0" w:after="1"/>
              <w:ind w:left="0" w:right="0" w:hanging="0"/>
              <w:jc w:val="right"/>
              <w:rPr/>
            </w:pPr>
            <w:r>
              <w:rPr/>
              <w:t>​</w:t>
            </w:r>
          </w:p>
        </w:tc>
        <w:tc>
          <w:tcPr>
            <w:tcW w:w="888"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28"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318,339</w:t>
            </w:r>
          </w:p>
        </w:tc>
      </w:tr>
    </w:tbl>
    <w:p>
      <w:pPr>
        <w:pStyle w:val="TextBody"/>
        <w:spacing w:before="0" w:after="240"/>
        <w:ind w:left="0" w:right="0" w:firstLine="360"/>
        <w:jc w:val="center"/>
        <w:rPr/>
      </w:pPr>
      <w:r>
        <w:rPr/>
        <w:t>​</w:t>
      </w:r>
    </w:p>
    <w:p>
      <w:pPr>
        <w:pStyle w:val="TextBody"/>
        <w:spacing w:before="0" w:after="240"/>
        <w:ind w:left="0" w:right="0" w:hanging="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18" w:name="_725eb039_0696_4fa0_87df_7c886dc9f86b"/>
      <w:bookmarkEnd w:id="518"/>
      <w:r>
        <w:rPr>
          <w:rFonts w:ascii="Times New Roman;Times;serif" w:hAnsi="Times New Roman;Times;serif"/>
          <w:b/>
          <w:sz w:val="20"/>
        </w:rPr>
        <w:t>BITDEER TECHNOLOGIES HOLDING COMPANY AND SUBSIDIARIES</w:t>
      </w:r>
    </w:p>
    <w:p>
      <w:pPr>
        <w:pStyle w:val="TextBody"/>
        <w:spacing w:before="0" w:after="0"/>
        <w:ind w:left="0" w:right="0" w:hanging="0"/>
        <w:jc w:val="center"/>
        <w:rPr>
          <w:rFonts w:ascii="Times New Roman;Times;serif" w:hAnsi="Times New Roman;Times;serif"/>
          <w:b/>
          <w:sz w:val="20"/>
        </w:rPr>
      </w:pPr>
      <w:bookmarkStart w:id="519" w:name="CONSOLIDATEDSTATEMENTSOFCASHFLOWS_796474"/>
      <w:bookmarkEnd w:id="519"/>
      <w:r>
        <w:rPr>
          <w:rFonts w:ascii="Times New Roman;Times;serif" w:hAnsi="Times New Roman;Times;serif"/>
          <w:b/>
          <w:sz w:val="20"/>
        </w:rPr>
        <w:t>CONSOLIDATED STATEMENTS OF CASH FLOWS</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(Amounts in tables are stated in thousands of U.S. Dollar)</w:t>
      </w:r>
    </w:p>
    <w:p>
      <w:pPr>
        <w:pStyle w:val="Normal"/>
        <w:spacing w:before="0" w:after="0"/>
        <w:rPr>
          <w:sz w:val="4"/>
          <w:szCs w:val="4"/>
        </w:rPr>
      </w:pPr>
      <w:r>
        <w:rPr>
          <w:sz w:val="4"/>
          <w:szCs w:val="4"/>
        </w:rPr>
      </w:r>
      <w:bookmarkStart w:id="520" w:name="Tc_qkQ5HCOZzE-R67bSqMgl6Q_71_0"/>
      <w:bookmarkStart w:id="521" w:name="Tc_T8fiwA1YPEm3FvnSF0J-rw_70_0"/>
      <w:bookmarkStart w:id="522" w:name="Tc_SwB-36W6BU6RagmaHWTMdA_69_0"/>
      <w:bookmarkStart w:id="523" w:name="Tc_hskWQWUwSEq8cbtf0Yu5dQ_68_0"/>
      <w:bookmarkStart w:id="524" w:name="Tc_F3Ar7o_dgEeWFhUrEpXVig_67_0"/>
      <w:bookmarkStart w:id="525" w:name="Tc_YPJTPZ14Fk-6UAm7fFOjxA_66_6"/>
      <w:bookmarkStart w:id="526" w:name="Tc_lxZWXW3qI0ODJRJuonCBQg_66_4"/>
      <w:bookmarkStart w:id="527" w:name="Tc_f9gmip2aAEyVJ0Ye5T-Eig_66_0"/>
      <w:bookmarkStart w:id="528" w:name="Tc_-IszyTUO4kiLyYE4TqXaXA_65_6"/>
      <w:bookmarkStart w:id="529" w:name="Tc_Mf0gEdGWWU-6xqLJbtGHEQ_65_2"/>
      <w:bookmarkStart w:id="530" w:name="Tc_Z28urdNy9E2I0XOC0cPiiQ_65_0"/>
      <w:bookmarkStart w:id="531" w:name="Tc_3TiCJ0R8QEC0C9D9DOyr8A_64_6"/>
      <w:bookmarkStart w:id="532" w:name="Tc_ZO4B1tY-cUe84vqm1f8DgA_64_2"/>
      <w:bookmarkStart w:id="533" w:name="Tc_6I99_nZlHkuj2j8MJWRBqA_64_0"/>
      <w:bookmarkStart w:id="534" w:name="Tc_zThiPv23zU-BR45E8DUxxA_63_6"/>
      <w:bookmarkStart w:id="535" w:name="Tc_xu0cIPUqzkKrD997pHWOOQ_63_0"/>
      <w:bookmarkStart w:id="536" w:name="Tc_JR1UO6mZt0-rBKlLYrqt8w_62_6"/>
      <w:bookmarkStart w:id="537" w:name="Tc_8UtssX3TqkaIuuzGuY-ixg_62_4"/>
      <w:bookmarkStart w:id="538" w:name="Tc_UleK_tARs0-yA_7wNJTmNA_62_0"/>
      <w:bookmarkStart w:id="539" w:name="Tc_jAE23OhQ6U2VG3OYxnJmmw_61_0"/>
      <w:bookmarkStart w:id="540" w:name="Tc_DU8uv1CnIEyGv1HpbcbO2g_60_6"/>
      <w:bookmarkStart w:id="541" w:name="Tc_DF1US87aeE-0pQi5zNz65g_60_4"/>
      <w:bookmarkStart w:id="542" w:name="Tc_qEGo5MrmXk--JETT_lkmSw_60_0"/>
      <w:bookmarkStart w:id="543" w:name="Tc_AA7F8mYVoEelu7b8A_a9ew_59_0"/>
      <w:bookmarkStart w:id="544" w:name="Tc_tdGPBJYulEGdZDaQ8g5Nzg_58_0"/>
      <w:bookmarkStart w:id="545" w:name="Tc_utXOj9xjVUSE8CfIH7_GyQ_57_4"/>
      <w:bookmarkStart w:id="546" w:name="Tc_n5-MhpZcI0WqNYTBCwgNYg_57_2"/>
      <w:bookmarkStart w:id="547" w:name="Tc_wRe-kEYuG0qyKw0i4SmnTg_57_0"/>
      <w:bookmarkStart w:id="548" w:name="Tc_t5pNRFOD9E-Aq11hM18Q7A_56_2"/>
      <w:bookmarkStart w:id="549" w:name="Tc_ZIczP1L9NUiCxQAuAjNxXw_56_0"/>
      <w:bookmarkStart w:id="550" w:name="Tc_HhPMN7qFJkeuCTT7CtBQWQ_55_6"/>
      <w:bookmarkStart w:id="551" w:name="Tc_aMAQ6ENhR0qYZa3vf7CExQ_55_4"/>
      <w:bookmarkStart w:id="552" w:name="Tc_DIZvu4m7hk6lN1QhMAIfQQ_55_0"/>
      <w:bookmarkStart w:id="553" w:name="Tc_v7ePrVL6fEieFmdYERVf_A_54_0"/>
      <w:bookmarkStart w:id="554" w:name="Tc_maDkBt0EIkOPPTgLu1PhoQ_53_0"/>
      <w:bookmarkStart w:id="555" w:name="Tc_elZKN8z6pE648VCmUozydA_52_4"/>
      <w:bookmarkStart w:id="556" w:name="Tc_qzem-SxF1EiNowyqnAWbXg_52_2"/>
      <w:bookmarkStart w:id="557" w:name="Tc_uyROex603EOxokuCoP0Q-A_52_0"/>
      <w:bookmarkStart w:id="558" w:name="Tc_B1kMpgMKX0Oz--gHHtEyrw_51_0"/>
      <w:bookmarkStart w:id="559" w:name="Tc_EZYt3eYI3EidBitWwCD7Mw_50_0"/>
      <w:bookmarkStart w:id="560" w:name="Tc_8cXFf1dng0G8CZDLSBnNkg_49_2"/>
      <w:bookmarkStart w:id="561" w:name="Tc_t4ePdB3wnUi7AFNEcaskrA_49_0"/>
      <w:bookmarkStart w:id="562" w:name="Tc_rp6g7xDBFku-gbvfC_hPVg_48_4"/>
      <w:bookmarkStart w:id="563" w:name="Tc_IPQjqLlqtESpzQ2dP6rzsw_48_2"/>
      <w:bookmarkStart w:id="564" w:name="Tc_YlV-kg0kkU-yyWFq1bfKDA_48_0"/>
      <w:bookmarkStart w:id="565" w:name="Tc_G2LDuFoeu0ypCQUtLTmXNQ_47_4"/>
      <w:bookmarkStart w:id="566" w:name="Tc_DHv8NTvmpUSRs5i4QsDhfw_47_2"/>
      <w:bookmarkStart w:id="567" w:name="Tc_bCPung78cEyYjG2NAfZMJw_47_0"/>
      <w:bookmarkStart w:id="568" w:name="Tc_QwvgHtWVEkeHP1e9BBf2pQ_46_6"/>
      <w:bookmarkStart w:id="569" w:name="Tc_pzW2-DwijUGLmhCKIfs19w_46_0"/>
      <w:bookmarkStart w:id="570" w:name="Tc_xjDxE9fr2EOVjJ0AI8K-WQ_45_0"/>
      <w:bookmarkStart w:id="571" w:name="Tc_S02YvTtzxUK3j39Z-NI_tw_44_0"/>
      <w:bookmarkStart w:id="572" w:name="Tc_TErgPy9ckUKPY4RyJy3-QQ_43_0"/>
      <w:bookmarkStart w:id="573" w:name="Tc_OrOVGyt-OEelYdzRSiOIkg_42_6"/>
      <w:bookmarkStart w:id="574" w:name="Tc_RGyRlPkz9E69HpRPjek-sw_42_2"/>
      <w:bookmarkStart w:id="575" w:name="Tc_aQYaGhbw-UyY3XNjP9OOfg_42_0"/>
      <w:bookmarkStart w:id="576" w:name="Tc_t58lBX7Y3UeJ4KDjTZfrhQ_41_0"/>
      <w:bookmarkStart w:id="577" w:name="Tc_rqP1_VCuSUGtUBMJ8ppp2g_40_0"/>
      <w:bookmarkStart w:id="578" w:name="Tc_Ov_BVwsWwkWuvDegjblGpA_39_2"/>
      <w:bookmarkStart w:id="579" w:name="Tc_-opNqrG6rUexHzKtYJ6vwA_39_0"/>
      <w:bookmarkStart w:id="580" w:name="Tc_kQtzxPucY0SRTX0BBBnFWQ_38_0"/>
      <w:bookmarkStart w:id="581" w:name="Tc_-UzU-iKsd0GU5GqffwZ2mA_37_0"/>
      <w:bookmarkStart w:id="582" w:name="Tc_RGv_Pjz2ZEeiSnl3-VETzA_36_0"/>
      <w:bookmarkStart w:id="583" w:name="Tc_76CyoKuNKUC_a0WzoXHKTg_35_2"/>
      <w:bookmarkStart w:id="584" w:name="Tc_rremh7aixESUx_L8Qy1hrA_35_0"/>
      <w:bookmarkStart w:id="585" w:name="Tc_hpkPevWorkuAAvp0RKz_vA_34_0"/>
      <w:bookmarkStart w:id="586" w:name="Tc_zoI-w22ud02y87Po85_bbg_33_0"/>
      <w:bookmarkStart w:id="587" w:name="Tc_j20q6N2wt0m9TKLbAXGtDw_32_2"/>
      <w:bookmarkStart w:id="588" w:name="Tc_34yYZtve3U2yEma5xiYIOA_32_0"/>
      <w:bookmarkStart w:id="589" w:name="Tc_5MShaoUGwkmfQUeYboVBlA_31_0"/>
      <w:bookmarkStart w:id="590" w:name="Tc_bTSUwQWhBkO8_BBvLw6arw_30_0"/>
      <w:bookmarkStart w:id="591" w:name="Tc_CiLcL9kwsE-_ebYJj7FiZA_29_2"/>
      <w:bookmarkStart w:id="592" w:name="Tc_K_rcv_QqRE66vA_c_bNDwQ_29_0"/>
      <w:bookmarkStart w:id="593" w:name="Tc_t7F7YzlAO0KtkmUnU-Gj6Q_28_0"/>
      <w:bookmarkStart w:id="594" w:name="Tc_tVQ6uTFaA0Kuz2TSS8Eq6w_27_0"/>
      <w:bookmarkStart w:id="595" w:name="Tc_hzhMwUhbCUe1BhiArK7P2w_26_0"/>
      <w:bookmarkStart w:id="596" w:name="Tc_ZDWW3AG4GEe6POA6cLx_Dg_25_6"/>
      <w:bookmarkStart w:id="597" w:name="Tc_DfcS3ZrWh0Guepp-cXgVjw_25_0"/>
      <w:bookmarkStart w:id="598" w:name="Tc_uYiQvsbHXk-zVDf0t5ddTw_24_2"/>
      <w:bookmarkStart w:id="599" w:name="Tc_lrXCj5QBW0CVi_XDgNVzJQ_24_0"/>
      <w:bookmarkStart w:id="600" w:name="Tc_uBmwtP7xr0qXmtx6cYh8tg_23_0"/>
      <w:bookmarkStart w:id="601" w:name="Tc_6jWtLhK0W0aoo2sa2IHzfQ_22_6"/>
      <w:bookmarkStart w:id="602" w:name="Tc_5n3_LRQwIUKJ8hlgnHIaDg_22_0"/>
      <w:bookmarkStart w:id="603" w:name="Tc_lInBRx198UyErrQvluemeQ_21_0"/>
      <w:bookmarkStart w:id="604" w:name="Tc_gKAv1ifSxkCWNRlSVvg-iw_20_6"/>
      <w:bookmarkStart w:id="605" w:name="Tc_0fwhJa2jb0urvHhpdnRZDg_20_2"/>
      <w:bookmarkStart w:id="606" w:name="Tc__jSjWDtpwk-mASR45zCVRQ_20_0"/>
      <w:bookmarkStart w:id="607" w:name="Tc_ru6A_L66tEytZiLtEqcIpg_19_6"/>
      <w:bookmarkStart w:id="608" w:name="Tc_x6EsEG6U6kWj2EEkltkcmA_19_2"/>
      <w:bookmarkStart w:id="609" w:name="Tc_HHpKjNjmtkWk3bnJDrwB0Q_19_0"/>
      <w:bookmarkStart w:id="610" w:name="Tc_LQtDnIC_0Eqn4ePTUVSulg_18_6"/>
      <w:bookmarkStart w:id="611" w:name="Tc_Dc96_8t9aUW1ZTFjWzFCJw_18_2"/>
      <w:bookmarkStart w:id="612" w:name="Tc_nKWWGglRaEKlX028Dns7QA_18_0"/>
      <w:bookmarkStart w:id="613" w:name="Tc_CTUPYE227Ui_pdHVwKT6xg_17_0"/>
      <w:bookmarkStart w:id="614" w:name="Tc_ooaUBgUj6UuQnowK42nIhw_16_6"/>
      <w:bookmarkStart w:id="615" w:name="Tc_Hmynb_DWgk-OQz4do9-PeA_16_0"/>
      <w:bookmarkStart w:id="616" w:name="Tc_afMPAJgQXkeYf2DkQ1rNMA_15_6"/>
      <w:bookmarkStart w:id="617" w:name="Tc_Paq6YES8pk2vPOpVQnKV-Q_15_2"/>
      <w:bookmarkStart w:id="618" w:name="Tc_A4WpJS1g-UaCjyZLe26O1Q_15_0"/>
      <w:bookmarkStart w:id="619" w:name="Tc_tlxhWOE5Q0KeLmLzoJ9tUw_14_0"/>
      <w:bookmarkStart w:id="620" w:name="Tc_aZRN1LvPP0iOuuoErJ-1wA_13_0"/>
      <w:bookmarkStart w:id="621" w:name="Tc_K-m2Q5yS90KfU0a_xurm3w_12_4"/>
      <w:bookmarkStart w:id="622" w:name="Tc_HRRnnqgVp0GEab_u-2TPxg_12_2"/>
      <w:bookmarkStart w:id="623" w:name="Tc_HuM2UEfUUUy9vRSnpyOm8w_12_0"/>
      <w:bookmarkStart w:id="624" w:name="Tc_dvkKjga8h0K6Ad_9cLLavg_11_4"/>
      <w:bookmarkStart w:id="625" w:name="Tc_o_K_MtnVa0alGRIbVrU9mA_11_2"/>
      <w:bookmarkStart w:id="626" w:name="Tc_sieqvE-oD0C5IdFfuwzDKg_11_0"/>
      <w:bookmarkStart w:id="627" w:name="Tc__lOxy8qGW0qmFsD8feAhhg_10_0"/>
      <w:bookmarkStart w:id="628" w:name="Tc_wzzlCXiXdEqN85c2Yqm_Vg_9_2"/>
      <w:bookmarkStart w:id="629" w:name="Tc_a-TOLifZT0SWWdsgg63C_A_9_0"/>
      <w:bookmarkStart w:id="630" w:name="Tc_aRb9YTbCiEiMXonwMeCMaQ_8_0"/>
      <w:bookmarkStart w:id="631" w:name="Tc_MraTyTAU9kaiaoxD00_Bxg_7_0"/>
      <w:bookmarkStart w:id="632" w:name="Tc_vXwoxbb1DEOnSp_bLrNUHA_6_0"/>
      <w:bookmarkStart w:id="633" w:name="Tc_YSfWYmk8v0isZv3-VCbDuA_5_0"/>
      <w:bookmarkStart w:id="634" w:name="Tc_Du6yPup6p0W2UjEMttikog_4_0"/>
      <w:bookmarkStart w:id="635" w:name="Tc_1jBLbeeTnU-Tgt5LCkhuAQ_3_4"/>
      <w:bookmarkStart w:id="636" w:name="Tc_24d1c1jKM0mqABnuR7l4BA_3_2"/>
      <w:bookmarkStart w:id="637" w:name="Tc_WtJLPwdv7ke45MgkrE9gpA_2_6"/>
      <w:bookmarkStart w:id="638" w:name="Tc_nYLu4sQ7gEOwCvf7Qm8Q3A_2_4"/>
      <w:bookmarkStart w:id="639" w:name="Tc_H5BHh6DXy0esaiEf4A9buA_2_2"/>
      <w:bookmarkStart w:id="640" w:name="Tc_ifTz1fooiUq4VK2wT1G0gg_1_2"/>
      <w:bookmarkStart w:id="641" w:name="_513bcaf1_20c6_4776_a71a_bc65e0efb131"/>
      <w:bookmarkStart w:id="642" w:name="Tc_qkQ5HCOZzE-R67bSqMgl6Q_71_0"/>
      <w:bookmarkStart w:id="643" w:name="Tc_T8fiwA1YPEm3FvnSF0J-rw_70_0"/>
      <w:bookmarkStart w:id="644" w:name="Tc_SwB-36W6BU6RagmaHWTMdA_69_0"/>
      <w:bookmarkStart w:id="645" w:name="Tc_hskWQWUwSEq8cbtf0Yu5dQ_68_0"/>
      <w:bookmarkStart w:id="646" w:name="Tc_F3Ar7o_dgEeWFhUrEpXVig_67_0"/>
      <w:bookmarkStart w:id="647" w:name="Tc_YPJTPZ14Fk-6UAm7fFOjxA_66_6"/>
      <w:bookmarkStart w:id="648" w:name="Tc_lxZWXW3qI0ODJRJuonCBQg_66_4"/>
      <w:bookmarkStart w:id="649" w:name="Tc_f9gmip2aAEyVJ0Ye5T-Eig_66_0"/>
      <w:bookmarkStart w:id="650" w:name="Tc_-IszyTUO4kiLyYE4TqXaXA_65_6"/>
      <w:bookmarkStart w:id="651" w:name="Tc_Mf0gEdGWWU-6xqLJbtGHEQ_65_2"/>
      <w:bookmarkStart w:id="652" w:name="Tc_Z28urdNy9E2I0XOC0cPiiQ_65_0"/>
      <w:bookmarkStart w:id="653" w:name="Tc_3TiCJ0R8QEC0C9D9DOyr8A_64_6"/>
      <w:bookmarkStart w:id="654" w:name="Tc_ZO4B1tY-cUe84vqm1f8DgA_64_2"/>
      <w:bookmarkStart w:id="655" w:name="Tc_6I99_nZlHkuj2j8MJWRBqA_64_0"/>
      <w:bookmarkStart w:id="656" w:name="Tc_zThiPv23zU-BR45E8DUxxA_63_6"/>
      <w:bookmarkStart w:id="657" w:name="Tc_xu0cIPUqzkKrD997pHWOOQ_63_0"/>
      <w:bookmarkStart w:id="658" w:name="Tc_JR1UO6mZt0-rBKlLYrqt8w_62_6"/>
      <w:bookmarkStart w:id="659" w:name="Tc_8UtssX3TqkaIuuzGuY-ixg_62_4"/>
      <w:bookmarkStart w:id="660" w:name="Tc_UleK_tARs0-yA_7wNJTmNA_62_0"/>
      <w:bookmarkStart w:id="661" w:name="Tc_jAE23OhQ6U2VG3OYxnJmmw_61_0"/>
      <w:bookmarkStart w:id="662" w:name="Tc_DU8uv1CnIEyGv1HpbcbO2g_60_6"/>
      <w:bookmarkStart w:id="663" w:name="Tc_DF1US87aeE-0pQi5zNz65g_60_4"/>
      <w:bookmarkStart w:id="664" w:name="Tc_qEGo5MrmXk--JETT_lkmSw_60_0"/>
      <w:bookmarkStart w:id="665" w:name="Tc_AA7F8mYVoEelu7b8A_a9ew_59_0"/>
      <w:bookmarkStart w:id="666" w:name="Tc_tdGPBJYulEGdZDaQ8g5Nzg_58_0"/>
      <w:bookmarkStart w:id="667" w:name="Tc_utXOj9xjVUSE8CfIH7_GyQ_57_4"/>
      <w:bookmarkStart w:id="668" w:name="Tc_n5-MhpZcI0WqNYTBCwgNYg_57_2"/>
      <w:bookmarkStart w:id="669" w:name="Tc_wRe-kEYuG0qyKw0i4SmnTg_57_0"/>
      <w:bookmarkStart w:id="670" w:name="Tc_t5pNRFOD9E-Aq11hM18Q7A_56_2"/>
      <w:bookmarkStart w:id="671" w:name="Tc_ZIczP1L9NUiCxQAuAjNxXw_56_0"/>
      <w:bookmarkStart w:id="672" w:name="Tc_HhPMN7qFJkeuCTT7CtBQWQ_55_6"/>
      <w:bookmarkStart w:id="673" w:name="Tc_aMAQ6ENhR0qYZa3vf7CExQ_55_4"/>
      <w:bookmarkStart w:id="674" w:name="Tc_DIZvu4m7hk6lN1QhMAIfQQ_55_0"/>
      <w:bookmarkStart w:id="675" w:name="Tc_v7ePrVL6fEieFmdYERVf_A_54_0"/>
      <w:bookmarkStart w:id="676" w:name="Tc_maDkBt0EIkOPPTgLu1PhoQ_53_0"/>
      <w:bookmarkStart w:id="677" w:name="Tc_elZKN8z6pE648VCmUozydA_52_4"/>
      <w:bookmarkStart w:id="678" w:name="Tc_qzem-SxF1EiNowyqnAWbXg_52_2"/>
      <w:bookmarkStart w:id="679" w:name="Tc_uyROex603EOxokuCoP0Q-A_52_0"/>
      <w:bookmarkStart w:id="680" w:name="Tc_B1kMpgMKX0Oz--gHHtEyrw_51_0"/>
      <w:bookmarkStart w:id="681" w:name="Tc_EZYt3eYI3EidBitWwCD7Mw_50_0"/>
      <w:bookmarkStart w:id="682" w:name="Tc_8cXFf1dng0G8CZDLSBnNkg_49_2"/>
      <w:bookmarkStart w:id="683" w:name="Tc_t4ePdB3wnUi7AFNEcaskrA_49_0"/>
      <w:bookmarkStart w:id="684" w:name="Tc_rp6g7xDBFku-gbvfC_hPVg_48_4"/>
      <w:bookmarkStart w:id="685" w:name="Tc_IPQjqLlqtESpzQ2dP6rzsw_48_2"/>
      <w:bookmarkStart w:id="686" w:name="Tc_YlV-kg0kkU-yyWFq1bfKDA_48_0"/>
      <w:bookmarkStart w:id="687" w:name="Tc_G2LDuFoeu0ypCQUtLTmXNQ_47_4"/>
      <w:bookmarkStart w:id="688" w:name="Tc_DHv8NTvmpUSRs5i4QsDhfw_47_2"/>
      <w:bookmarkStart w:id="689" w:name="Tc_bCPung78cEyYjG2NAfZMJw_47_0"/>
      <w:bookmarkStart w:id="690" w:name="Tc_QwvgHtWVEkeHP1e9BBf2pQ_46_6"/>
      <w:bookmarkStart w:id="691" w:name="Tc_pzW2-DwijUGLmhCKIfs19w_46_0"/>
      <w:bookmarkStart w:id="692" w:name="Tc_xjDxE9fr2EOVjJ0AI8K-WQ_45_0"/>
      <w:bookmarkStart w:id="693" w:name="Tc_S02YvTtzxUK3j39Z-NI_tw_44_0"/>
      <w:bookmarkStart w:id="694" w:name="Tc_TErgPy9ckUKPY4RyJy3-QQ_43_0"/>
      <w:bookmarkStart w:id="695" w:name="Tc_OrOVGyt-OEelYdzRSiOIkg_42_6"/>
      <w:bookmarkStart w:id="696" w:name="Tc_RGyRlPkz9E69HpRPjek-sw_42_2"/>
      <w:bookmarkStart w:id="697" w:name="Tc_aQYaGhbw-UyY3XNjP9OOfg_42_0"/>
      <w:bookmarkStart w:id="698" w:name="Tc_t58lBX7Y3UeJ4KDjTZfrhQ_41_0"/>
      <w:bookmarkStart w:id="699" w:name="Tc_rqP1_VCuSUGtUBMJ8ppp2g_40_0"/>
      <w:bookmarkStart w:id="700" w:name="Tc_Ov_BVwsWwkWuvDegjblGpA_39_2"/>
      <w:bookmarkStart w:id="701" w:name="Tc_-opNqrG6rUexHzKtYJ6vwA_39_0"/>
      <w:bookmarkStart w:id="702" w:name="Tc_kQtzxPucY0SRTX0BBBnFWQ_38_0"/>
      <w:bookmarkStart w:id="703" w:name="Tc_-UzU-iKsd0GU5GqffwZ2mA_37_0"/>
      <w:bookmarkStart w:id="704" w:name="Tc_RGv_Pjz2ZEeiSnl3-VETzA_36_0"/>
      <w:bookmarkStart w:id="705" w:name="Tc_76CyoKuNKUC_a0WzoXHKTg_35_2"/>
      <w:bookmarkStart w:id="706" w:name="Tc_rremh7aixESUx_L8Qy1hrA_35_0"/>
      <w:bookmarkStart w:id="707" w:name="Tc_hpkPevWorkuAAvp0RKz_vA_34_0"/>
      <w:bookmarkStart w:id="708" w:name="Tc_zoI-w22ud02y87Po85_bbg_33_0"/>
      <w:bookmarkStart w:id="709" w:name="Tc_j20q6N2wt0m9TKLbAXGtDw_32_2"/>
      <w:bookmarkStart w:id="710" w:name="Tc_34yYZtve3U2yEma5xiYIOA_32_0"/>
      <w:bookmarkStart w:id="711" w:name="Tc_5MShaoUGwkmfQUeYboVBlA_31_0"/>
      <w:bookmarkStart w:id="712" w:name="Tc_bTSUwQWhBkO8_BBvLw6arw_30_0"/>
      <w:bookmarkStart w:id="713" w:name="Tc_CiLcL9kwsE-_ebYJj7FiZA_29_2"/>
      <w:bookmarkStart w:id="714" w:name="Tc_K_rcv_QqRE66vA_c_bNDwQ_29_0"/>
      <w:bookmarkStart w:id="715" w:name="Tc_t7F7YzlAO0KtkmUnU-Gj6Q_28_0"/>
      <w:bookmarkStart w:id="716" w:name="Tc_tVQ6uTFaA0Kuz2TSS8Eq6w_27_0"/>
      <w:bookmarkStart w:id="717" w:name="Tc_hzhMwUhbCUe1BhiArK7P2w_26_0"/>
      <w:bookmarkStart w:id="718" w:name="Tc_ZDWW3AG4GEe6POA6cLx_Dg_25_6"/>
      <w:bookmarkStart w:id="719" w:name="Tc_DfcS3ZrWh0Guepp-cXgVjw_25_0"/>
      <w:bookmarkStart w:id="720" w:name="Tc_uYiQvsbHXk-zVDf0t5ddTw_24_2"/>
      <w:bookmarkStart w:id="721" w:name="Tc_lrXCj5QBW0CVi_XDgNVzJQ_24_0"/>
      <w:bookmarkStart w:id="722" w:name="Tc_uBmwtP7xr0qXmtx6cYh8tg_23_0"/>
      <w:bookmarkStart w:id="723" w:name="Tc_6jWtLhK0W0aoo2sa2IHzfQ_22_6"/>
      <w:bookmarkStart w:id="724" w:name="Tc_5n3_LRQwIUKJ8hlgnHIaDg_22_0"/>
      <w:bookmarkStart w:id="725" w:name="Tc_lInBRx198UyErrQvluemeQ_21_0"/>
      <w:bookmarkStart w:id="726" w:name="Tc_gKAv1ifSxkCWNRlSVvg-iw_20_6"/>
      <w:bookmarkStart w:id="727" w:name="Tc_0fwhJa2jb0urvHhpdnRZDg_20_2"/>
      <w:bookmarkStart w:id="728" w:name="Tc__jSjWDtpwk-mASR45zCVRQ_20_0"/>
      <w:bookmarkStart w:id="729" w:name="Tc_ru6A_L66tEytZiLtEqcIpg_19_6"/>
      <w:bookmarkStart w:id="730" w:name="Tc_x6EsEG6U6kWj2EEkltkcmA_19_2"/>
      <w:bookmarkStart w:id="731" w:name="Tc_HHpKjNjmtkWk3bnJDrwB0Q_19_0"/>
      <w:bookmarkStart w:id="732" w:name="Tc_LQtDnIC_0Eqn4ePTUVSulg_18_6"/>
      <w:bookmarkStart w:id="733" w:name="Tc_Dc96_8t9aUW1ZTFjWzFCJw_18_2"/>
      <w:bookmarkStart w:id="734" w:name="Tc_nKWWGglRaEKlX028Dns7QA_18_0"/>
      <w:bookmarkStart w:id="735" w:name="Tc_CTUPYE227Ui_pdHVwKT6xg_17_0"/>
      <w:bookmarkStart w:id="736" w:name="Tc_ooaUBgUj6UuQnowK42nIhw_16_6"/>
      <w:bookmarkStart w:id="737" w:name="Tc_Hmynb_DWgk-OQz4do9-PeA_16_0"/>
      <w:bookmarkStart w:id="738" w:name="Tc_afMPAJgQXkeYf2DkQ1rNMA_15_6"/>
      <w:bookmarkStart w:id="739" w:name="Tc_Paq6YES8pk2vPOpVQnKV-Q_15_2"/>
      <w:bookmarkStart w:id="740" w:name="Tc_A4WpJS1g-UaCjyZLe26O1Q_15_0"/>
      <w:bookmarkStart w:id="741" w:name="Tc_tlxhWOE5Q0KeLmLzoJ9tUw_14_0"/>
      <w:bookmarkStart w:id="742" w:name="Tc_aZRN1LvPP0iOuuoErJ-1wA_13_0"/>
      <w:bookmarkStart w:id="743" w:name="Tc_K-m2Q5yS90KfU0a_xurm3w_12_4"/>
      <w:bookmarkStart w:id="744" w:name="Tc_HRRnnqgVp0GEab_u-2TPxg_12_2"/>
      <w:bookmarkStart w:id="745" w:name="Tc_HuM2UEfUUUy9vRSnpyOm8w_12_0"/>
      <w:bookmarkStart w:id="746" w:name="Tc_dvkKjga8h0K6Ad_9cLLavg_11_4"/>
      <w:bookmarkStart w:id="747" w:name="Tc_o_K_MtnVa0alGRIbVrU9mA_11_2"/>
      <w:bookmarkStart w:id="748" w:name="Tc_sieqvE-oD0C5IdFfuwzDKg_11_0"/>
      <w:bookmarkStart w:id="749" w:name="Tc__lOxy8qGW0qmFsD8feAhhg_10_0"/>
      <w:bookmarkStart w:id="750" w:name="Tc_wzzlCXiXdEqN85c2Yqm_Vg_9_2"/>
      <w:bookmarkStart w:id="751" w:name="Tc_a-TOLifZT0SWWdsgg63C_A_9_0"/>
      <w:bookmarkStart w:id="752" w:name="Tc_aRb9YTbCiEiMXonwMeCMaQ_8_0"/>
      <w:bookmarkStart w:id="753" w:name="Tc_MraTyTAU9kaiaoxD00_Bxg_7_0"/>
      <w:bookmarkStart w:id="754" w:name="Tc_vXwoxbb1DEOnSp_bLrNUHA_6_0"/>
      <w:bookmarkStart w:id="755" w:name="Tc_YSfWYmk8v0isZv3-VCbDuA_5_0"/>
      <w:bookmarkStart w:id="756" w:name="Tc_Du6yPup6p0W2UjEMttikog_4_0"/>
      <w:bookmarkStart w:id="757" w:name="Tc_1jBLbeeTnU-Tgt5LCkhuAQ_3_4"/>
      <w:bookmarkStart w:id="758" w:name="Tc_24d1c1jKM0mqABnuR7l4BA_3_2"/>
      <w:bookmarkStart w:id="759" w:name="Tc_WtJLPwdv7ke45MgkrE9gpA_2_6"/>
      <w:bookmarkStart w:id="760" w:name="Tc_nYLu4sQ7gEOwCvf7Qm8Q3A_2_4"/>
      <w:bookmarkStart w:id="761" w:name="Tc_H5BHh6DXy0esaiEf4A9buA_2_2"/>
      <w:bookmarkStart w:id="762" w:name="Tc_ifTz1fooiUq4VK2wT1G0gg_1_2"/>
      <w:bookmarkStart w:id="763" w:name="_513bcaf1_20c6_4776_a71a_bc65e0efb13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tbl>
      <w:tblPr>
        <w:tblW w:w="7605" w:type="dxa"/>
        <w:jc w:val="left"/>
        <w:tblInd w:w="0" w:type="dxa"/>
        <w:tblCellMar>
          <w:top w:w="0" w:type="dxa"/>
          <w:left w:w="0" w:type="dxa"/>
          <w:bottom w:w="0" w:type="dxa"/>
          <w:right w:w="0" w:type="dxa"/>
        </w:tblCellMar>
      </w:tblPr>
      <w:tblGrid>
        <w:gridCol w:w="4711"/>
        <w:gridCol w:w="326"/>
        <w:gridCol w:w="706"/>
        <w:gridCol w:w="109"/>
        <w:gridCol w:w="706"/>
        <w:gridCol w:w="326"/>
        <w:gridCol w:w="721"/>
      </w:tblGrid>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6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Years ended December 31, </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109" w:type="dxa"/>
            <w:tcBorders/>
            <w:shd w:fill="auto" w:val="clear"/>
            <w:vAlign w:val="center"/>
          </w:tcPr>
          <w:p>
            <w:pPr>
              <w:pStyle w:val="TableContents"/>
              <w:spacing w:before="0" w:after="1"/>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1"/>
              <w:ind w:left="0" w:right="0" w:hanging="0"/>
              <w:jc w:val="center"/>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4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(Restated)</w:t>
            </w:r>
          </w:p>
        </w:tc>
        <w:tc>
          <w:tcPr>
            <w:tcW w:w="109" w:type="dxa"/>
            <w:tcBorders/>
            <w:shd w:fill="auto" w:val="clear"/>
            <w:vAlign w:val="center"/>
          </w:tcPr>
          <w:p>
            <w:pPr>
              <w:pStyle w:val="TableContents"/>
              <w:spacing w:before="0" w:after="1"/>
              <w:ind w:left="0" w:right="0" w:hanging="0"/>
              <w:jc w:val="center"/>
              <w:rPr/>
            </w:pPr>
            <w:r>
              <w:rPr/>
              <w:t>​</w:t>
            </w:r>
          </w:p>
        </w:tc>
        <w:tc>
          <w:tcPr>
            <w:tcW w:w="70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(Restated)</w:t>
            </w:r>
          </w:p>
        </w:tc>
        <w:tc>
          <w:tcPr>
            <w:tcW w:w="326" w:type="dxa"/>
            <w:tcBorders/>
            <w:shd w:fill="auto" w:val="clear"/>
            <w:vAlign w:val="center"/>
          </w:tcPr>
          <w:p>
            <w:pPr>
              <w:pStyle w:val="TableContents"/>
              <w:spacing w:before="0" w:after="1"/>
              <w:ind w:left="0" w:right="0" w:hanging="0"/>
              <w:jc w:val="center"/>
              <w:rPr/>
            </w:pPr>
            <w:r>
              <w:rPr/>
              <w:t>​</w:t>
            </w:r>
          </w:p>
        </w:tc>
        <w:tc>
          <w:tcPr>
            <w:tcW w:w="721" w:type="dxa"/>
            <w:tcBorders/>
            <w:shd w:fill="auto" w:val="clear"/>
            <w:vAlign w:val="center"/>
          </w:tcPr>
          <w:p>
            <w:pPr>
              <w:pStyle w:val="TableContents"/>
              <w:spacing w:before="0" w:after="1"/>
              <w:ind w:left="0" w:right="0" w:hanging="0"/>
              <w:jc w:val="center"/>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spacing w:before="0" w:after="1"/>
              <w:ind w:left="0" w:right="0" w:hanging="0"/>
              <w:jc w:val="center"/>
              <w:rPr/>
            </w:pPr>
            <w:r>
              <w:rPr/>
              <w:t>​</w:t>
            </w:r>
          </w:p>
        </w:tc>
        <w:tc>
          <w:tcPr>
            <w:tcW w:w="70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jc w:val="center"/>
              <w:rPr/>
            </w:pPr>
            <w:r>
              <w:rPr/>
              <w:t>​</w:t>
            </w:r>
          </w:p>
        </w:tc>
        <w:tc>
          <w:tcPr>
            <w:tcW w:w="70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721" w:type="dxa"/>
            <w:tcBorders/>
            <w:shd w:fill="CCEEFF" w:val="clear"/>
            <w:vAlign w:val="center"/>
          </w:tcPr>
          <w:p>
            <w:pPr>
              <w:pStyle w:val="TableContents"/>
              <w:spacing w:before="0" w:after="1"/>
              <w:ind w:left="0" w:right="0" w:hanging="0"/>
              <w:jc w:val="center"/>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Profit / (loss) for the year</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(55,826)</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82,643</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(60,366)</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Adjustments for:</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Revenues recognized on acceptance of cryptocurrencies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(170,228)</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(333,668)</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(304,962)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Depreciation and amortization </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112,037</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63,055</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66,424</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Share-based payment expenses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88,355</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90,648</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Loss / (gain) on disposal of property, plant and equipment and intangible assets</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(66)</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Changes in fair value of financial assets at fair value through profit or loss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841</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Net gain on disposal of financial assets at fair value through profit or loss</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(213)</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Loss on disposal of mining machines</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2,984</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497</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Loss / (gain) on disposal of cryptocurrencies</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(2,716)</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(18,725)</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3,131</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Change in fair value of cryptocurrency lent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3,735</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Impairment charges</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4,236</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2,567</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Loss / (gain) on foreign currency transactions </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(618)</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2,881</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Gain on extinguishment of debt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Gain on settlement of balance with Bitmain</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(4,468)</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Loss on disposal of subsidiaries</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income</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(419)</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(2,947)</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(4,291)</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expense on bank loan</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accretion on lease liabilities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817</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1,217</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2,425</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expense on convertible debt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1,223</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2,778</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Gain on lease modification</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(205)</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Income tax expenses / (benefit)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(7,961)</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48,246</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(4,400)</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Changes in:</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Restricted cash</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(2,622)</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(2,971)</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(1,184)</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Trade receivables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(13,258)</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(5,350)</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Prepayments and other assets</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(5,381)</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(4,070)</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(21,913)</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Mining machines held for sale</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17,440</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5,957</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1,002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Amounts due from a related party</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(413)</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Trade payables</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512</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12,508</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(6,018)</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Deferred revenue</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(2,151)</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6,782</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(9,159)</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Amount due to a related party</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297</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Other payables and accruals</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1,670</w:t>
            </w:r>
          </w:p>
        </w:tc>
        <w:tc>
          <w:tcPr>
            <w:tcW w:w="109"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12,667</w:t>
            </w:r>
          </w:p>
        </w:tc>
        <w:tc>
          <w:tcPr>
            <w:tcW w:w="326" w:type="dxa"/>
            <w:tcBorders/>
            <w:shd w:fill="CCEEFF" w:val="cle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1,299</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Cash used in operating activities:</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(108,292)</w:t>
            </w:r>
          </w:p>
        </w:tc>
        <w:tc>
          <w:tcPr>
            <w:tcW w:w="109" w:type="dxa"/>
            <w:tcBorders/>
            <w:shd w:fill="auto" w:val="cle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(52,414)</w:t>
            </w:r>
          </w:p>
        </w:tc>
        <w:tc>
          <w:tcPr>
            <w:tcW w:w="326" w:type="dxa"/>
            <w:tcBorders/>
            <w:shd w:fill="auto" w:val="cle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(245,958)</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paid on leases</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(842)</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(1,217)</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(2,425)</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paid on convertible debt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(1,080)</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(2,433)</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received</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340</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2,202</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2,791</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Income taxes paid</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(382)</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(20,012)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Income tax refunded</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w:t>
            </w:r>
          </w:p>
        </w:tc>
        <w:tc>
          <w:tcPr>
            <w:tcW w:w="326" w:type="dxa"/>
            <w:tcBorders/>
            <w:shd w:fill="CCEEFF" w:val="cle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Net cash used in operating activities</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(109,176)</w:t>
            </w:r>
          </w:p>
        </w:tc>
        <w:tc>
          <w:tcPr>
            <w:tcW w:w="109" w:type="dxa"/>
            <w:tcBorders/>
            <w:shd w:fill="auto" w:val="cle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(52,466)</w:t>
            </w:r>
          </w:p>
        </w:tc>
        <w:tc>
          <w:tcPr>
            <w:tcW w:w="326" w:type="dxa"/>
            <w:tcBorders/>
            <w:shd w:fill="auto" w:val="cle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(268,037)</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Purchase of property, plant and equipment and intangible assets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(19,851)</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(62,882)</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(63,200)</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Purchase of mining machine</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(124,033)</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(26,611)</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Purchase of financial assets at fair value through profit or loss</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(61,550)</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disposal of financial assets at fair value through profit or loss</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1,213</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Purchase of cryptocurrencies</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(60,045)</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(285,990)</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Loans to related parties</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(161,000)</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(32,166)</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(322)</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Repayments from related parties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194,353</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21,698</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1,087</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Lending to a third party</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(2,546)</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disposal of property, plant and equipment and intangible assets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877</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962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disposal of cryptocurrencies</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173,063</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568,553</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560,988</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disposal of mining machines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Disposal of subsidiaries, net of cash disposed of </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(14,855)</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9,881</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Cash paid for asset acquisition, net of cash acquired</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(26,730)</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Net cash generated from investing activities</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62,742</w:t>
            </w:r>
          </w:p>
        </w:tc>
        <w:tc>
          <w:tcPr>
            <w:tcW w:w="109"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394,569</w:t>
            </w:r>
          </w:p>
        </w:tc>
        <w:tc>
          <w:tcPr>
            <w:tcW w:w="326" w:type="dxa"/>
            <w:tcBorders/>
            <w:shd w:fill="CCEEFF" w:val="cle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133,793</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bank loan</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871</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Capital element of lease rentals paid</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(4,517)</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(4,181)</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(3,884)</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Capital contribution received from related party</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420,000</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Deemed distribution to related parties</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(394,772)</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(10,943)</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Repayments of borrowings from related parties</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(29,302)</w:t>
            </w:r>
          </w:p>
        </w:tc>
        <w:tc>
          <w:tcPr>
            <w:tcW w:w="32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convertible debt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30,000</w:t>
            </w:r>
          </w:p>
        </w:tc>
        <w:tc>
          <w:tcPr>
            <w:tcW w:w="32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Borrowings from related parties</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9,194</w:t>
            </w:r>
          </w:p>
        </w:tc>
        <w:tc>
          <w:tcPr>
            <w:tcW w:w="109"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Net cash generated from / (used in) financing activities</w:t>
            </w:r>
          </w:p>
        </w:tc>
        <w:tc>
          <w:tcPr>
            <w:tcW w:w="326" w:type="dxa"/>
            <w:tcBorders/>
            <w:shd w:fill="auto" w:val="cle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30,776</w:t>
            </w:r>
          </w:p>
        </w:tc>
        <w:tc>
          <w:tcPr>
            <w:tcW w:w="109" w:type="dxa"/>
            <w:tcBorders/>
            <w:shd w:fill="auto" w:val="cle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(14,426)</w:t>
            </w:r>
          </w:p>
        </w:tc>
        <w:tc>
          <w:tcPr>
            <w:tcW w:w="326" w:type="dxa"/>
            <w:tcBorders/>
            <w:shd w:fill="auto" w:val="cle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(3,884)</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 xml:space="preserve">Net (decrease) / increase in cash and cash equivalents </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(15,658)</w:t>
            </w:r>
          </w:p>
        </w:tc>
        <w:tc>
          <w:tcPr>
            <w:tcW w:w="109"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327,677</w:t>
            </w:r>
          </w:p>
        </w:tc>
        <w:tc>
          <w:tcPr>
            <w:tcW w:w="32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(138,128)</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Cash and cash equivalents at January 1</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59,826</w:t>
            </w:r>
          </w:p>
        </w:tc>
        <w:tc>
          <w:tcPr>
            <w:tcW w:w="109"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44,753</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372,088</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Effect of movements in exchange rates on cash and cash equivalents held </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585</w:t>
            </w:r>
          </w:p>
        </w:tc>
        <w:tc>
          <w:tcPr>
            <w:tcW w:w="109"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(342)</w:t>
            </w:r>
          </w:p>
        </w:tc>
        <w:tc>
          <w:tcPr>
            <w:tcW w:w="326" w:type="dxa"/>
            <w:tcBorders/>
            <w:shd w:fill="CCEEFF" w:val="cle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(2,598)</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Cash and cash equivalents at December 31</w:t>
            </w:r>
          </w:p>
        </w:tc>
        <w:tc>
          <w:tcPr>
            <w:tcW w:w="326" w:type="dxa"/>
            <w:tcBorders/>
            <w:shd w:fill="auto" w:val="clear"/>
            <w:vAlign w:val="center"/>
          </w:tcPr>
          <w:p>
            <w:pPr>
              <w:pStyle w:val="TableContents"/>
              <w:spacing w:before="0" w:after="1"/>
              <w:ind w:left="0" w:right="0" w:hanging="0"/>
              <w:rPr/>
            </w:pPr>
            <w:r>
              <w:rPr/>
              <w:t>​</w:t>
            </w:r>
          </w:p>
        </w:tc>
        <w:tc>
          <w:tcPr>
            <w:tcW w:w="7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44,753</w:t>
            </w:r>
          </w:p>
        </w:tc>
        <w:tc>
          <w:tcPr>
            <w:tcW w:w="109" w:type="dxa"/>
            <w:tcBorders/>
            <w:shd w:fill="auto" w:val="clear"/>
            <w:vAlign w:val="center"/>
          </w:tcPr>
          <w:p>
            <w:pPr>
              <w:pStyle w:val="TableContents"/>
              <w:spacing w:before="0" w:after="1"/>
              <w:ind w:left="0" w:right="0" w:hanging="0"/>
              <w:rPr/>
            </w:pPr>
            <w:r>
              <w:rPr/>
              <w:t>​</w:t>
            </w:r>
          </w:p>
        </w:tc>
        <w:tc>
          <w:tcPr>
            <w:tcW w:w="7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372,088</w:t>
            </w:r>
          </w:p>
        </w:tc>
        <w:tc>
          <w:tcPr>
            <w:tcW w:w="326" w:type="dxa"/>
            <w:tcBorders/>
            <w:shd w:fill="auto" w:val="clear"/>
            <w:vAlign w:val="center"/>
          </w:tcPr>
          <w:p>
            <w:pPr>
              <w:pStyle w:val="TableContents"/>
              <w:spacing w:before="0" w:after="1"/>
              <w:ind w:left="0" w:right="0" w:hanging="0"/>
              <w:rPr/>
            </w:pPr>
            <w:r>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45" w:hanging="0"/>
              <w:jc w:val="right"/>
              <w:rPr>
                <w:rFonts w:ascii="Times New Roman;Times;serif" w:hAnsi="Times New Roman;Times;serif"/>
                <w:sz w:val="14"/>
              </w:rPr>
            </w:pPr>
            <w:r>
              <w:rPr>
                <w:rFonts w:ascii="Times New Roman;Times;serif" w:hAnsi="Times New Roman;Times;serif"/>
                <w:sz w:val="14"/>
              </w:rPr>
              <w:t>231,362</w:t>
            </w:r>
          </w:p>
        </w:tc>
      </w:tr>
    </w:tbl>
    <w:p>
      <w:pPr>
        <w:pStyle w:val="TextBody"/>
        <w:spacing w:before="0" w:after="240"/>
        <w:ind w:left="0" w:right="0" w:hanging="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bookmarkStart w:id="764" w:name="NOTESTOTHECONSOLIDATEDFINANCIALSTATEMENT"/>
      <w:bookmarkEnd w:id="764"/>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765" w:name="a1ORGANIZATION_301351"/>
      <w:bookmarkEnd w:id="765"/>
      <w:r>
        <w:rPr>
          <w:rFonts w:ascii="Times New Roman;Times;serif" w:hAnsi="Times New Roman;Times;serif"/>
          <w:b/>
          <w:i w:val="false"/>
          <w:caps w:val="false"/>
          <w:smallCaps w:val="false"/>
          <w:sz w:val="20"/>
        </w:rPr>
        <w:t>1.</w:t>
      </w:r>
      <w:r>
        <w:rPr>
          <w:rFonts w:ascii="Times New Roman;Times;serif" w:hAnsi="Times New Roman;Times;serif"/>
          <w:b/>
          <w:sz w:val="20"/>
        </w:rPr>
        <w:t>ORGANIZATION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General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Bitdeer Technologies Holding Company (the “Company” or “Bitdeer”) is a limited liability company incorporated in the Cayman Islands on November 18, 2020. The address of its registered office is 89 Nexus Way, Camana Bay, Grand Cayman KY1-9009, Cayman Islands.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conduct any substantive operations on its own but conducts its primary operations through its subsidiaries. The Company and its subsidiaries (together, the “Group”) are principally engaged in the following business activities: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to its customers plan subscriptions, from which the customers receive computing service in quantity measured in hash rate and benefit from such service as a result of directing the computing service to mining pools and receiving cryptocurrency rewards (the “Cloud Hash Rate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Group’s mining machines to provide computing power to mining pools in exchange for cryptocurrencies rewards (the “Proprietary Mining business”);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dynamic hosting solutions in the Group’s mining datacenters (the “Hosting business”, together with Cloud Hash Rate business and Proprietary Mining business, the “Bitdeer Business”).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Reorganization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Separation from Bitmain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2020, and the period from January 1, 2021 to January 26, 2021, the Bitdeer Business and the mining pool business, including the ownership of and registration right to the domain name btc.com (the “BTC.com Pool Business” or “BTC”), were operated through a number of entities controlled by BitMain Technologies Holding Company (collectively with its subsidiaries, “Bitmain”). The Company was created to separate the Bitdeer Business and the BTC.com Pool Business following a corporate reorganization of Bitmain to effectuate the separation. The separation from Bitmain resulted in the transfer of certain assets, liabilities and contracts related to the Bitdeer Business and the BTC.com Pool Business at their historical book values from Bitmain to the Company on January 26, 2021, when Bitmain distributed by way of dividend in kind the shares of the Company to the then existing Bitmain shareholders and the Company and its subsidiaries began to operate on a stand-alone basis.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Separation of the BTC.com Pool Business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February 2021, the Group established Blockchain Alliance Technologies Holding Company (“Blockchain Alliance”) to separate the BTC.com Pool Business following a corporate reorganization of the Group to effectuate the separation. The separation was consummated on April 15, 2021, when the Group distributed by way of dividend in kind the shares of Blockchain Alliance to the then existing shareholders of the Group.</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Basis of preparation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International Financial Reporting Standards (“IFRS”) as issued by the International Accounting Standards Board (“IASB”).</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historical financial statements comprise the following financial information: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results of operations of the Bitdeer Business during the year ended December 31, 2020, and the period from January 1, 2021 to April 15, 2021 (the “Carve-out Period”), which have been prepared on a carve-out basis; and</w:t>
            </w:r>
          </w:p>
        </w:tc>
      </w:tr>
    </w:tbl>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 - 7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position of the Group as of December 31, 2021 and 2022 and the consolidated results of operations of the Group for the period from April 16, 2021 to December 31, 2021 and for the year ended December 31, 2022, which have been prepared on a consolidated basis (together, the “consolidated financial statements”).</w:t>
            </w:r>
          </w:p>
        </w:tc>
      </w:tr>
    </w:tbl>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Preparing combined financial statements of Bitdeer Business on a carve-out basis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the Reorganization discussed in Note 1, the Group prepared the combined financial statements to capture the stand-alone Bitdeer Business, which has historically operated as part of Bitmain. The Group also excluded the assets, liabilities, operation results and cash flows of BTC.com Pool Business from its combined financial statements as a result of the Reorganization. The combined financial statements have not historically been prepared for the Bitdeer business.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preparing the combined historical financial information, certain accounting conventions commonly used for the preparation of combined historical financial information have been applied. The term “combined financial statements” is used when referring to financial information prepared by aggregating financial statements of separate entities or components of groups that fail to meet the definition of a “group” under IFRS 10 </w:t>
      </w:r>
      <w:r>
        <w:rPr>
          <w:rFonts w:ascii="Times New Roman;Times;serif" w:hAnsi="Times New Roman;Times;serif"/>
          <w:i/>
          <w:sz w:val="20"/>
        </w:rPr>
        <w:t>Consolidated financial statements</w:t>
      </w:r>
      <w:r>
        <w:rPr>
          <w:rFonts w:ascii="Times New Roman;Times;serif" w:hAnsi="Times New Roman;Times;serif"/>
          <w:sz w:val="20"/>
        </w:rPr>
        <w:t>. A key assumption underlying the preparation of combined financial statements is that there is a binding element for the economic activities throughout the period presented. The combined financial statements of the Group have been prepared by aggregating the financial information of the Bitdeer Business that was bound together by common control but was not a legal group. Intra-group transactions and the balances and unrealized gains or losses have been eliminated in the preparation of the combined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combined financial statements of the Bitdeer Business are derived from the historical accounting records of Bitmain on the following basis:</w:t>
      </w:r>
    </w:p>
    <w:tbl>
      <w:tblPr>
        <w:tblW w:w="10205" w:type="dxa"/>
        <w:jc w:val="left"/>
        <w:tblInd w:w="0" w:type="dxa"/>
        <w:tblCellMar>
          <w:top w:w="28" w:type="dxa"/>
          <w:left w:w="28" w:type="dxa"/>
          <w:bottom w:w="28" w:type="dxa"/>
          <w:right w:w="28" w:type="dxa"/>
        </w:tblCellMar>
      </w:tblPr>
      <w:tblGrid>
        <w:gridCol w:w="124"/>
        <w:gridCol w:w="231"/>
        <w:gridCol w:w="9850"/>
      </w:tblGrid>
      <w:tr>
        <w:trPr/>
        <w:tc>
          <w:tcPr>
            <w:tcW w:w="12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w:t>
            </w:r>
          </w:p>
        </w:tc>
        <w:tc>
          <w:tcPr>
            <w:tcW w:w="985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combined statements of operations and comprehensive income / (loss) of the Bitdeer Business include all revenues and costs directly attributable to the Bitdeer Business. These include certain common operating and administrative expenses incurred by the Bitdeer Business in conjunction with other business operations of Bitmain and BTC, including financial, human resources, office administration and other support functions. These costs have been allocated on a basis considered reasonable by management using either specific identification or proportional allocations based on usage, headcount, or other reasonable methods of allocation. Income tax expense was estimated based on the statutory tax rate, adjusted as appropriate for the effects of known non-taxable and non-deductible items reported in the combined statements of operations and comprehensive income / (loss) as described above. However, the combined financial statements of the Bitdeer Business may not reflect the actual costs that would have been incurred and may not be indicative of the Bitdeer Business’s combined results of operations, financial position, and cash flows had it been operating on a separate, stand-alone basis during the periods presented.</w:t>
            </w:r>
          </w:p>
        </w:tc>
      </w:tr>
    </w:tbl>
    <w:tbl>
      <w:tblPr>
        <w:tblW w:w="10205" w:type="dxa"/>
        <w:jc w:val="left"/>
        <w:tblInd w:w="0" w:type="dxa"/>
        <w:tblCellMar>
          <w:top w:w="28" w:type="dxa"/>
          <w:left w:w="28" w:type="dxa"/>
          <w:bottom w:w="28" w:type="dxa"/>
          <w:right w:w="28" w:type="dxa"/>
        </w:tblCellMar>
      </w:tblPr>
      <w:tblGrid>
        <w:gridCol w:w="124"/>
        <w:gridCol w:w="292"/>
        <w:gridCol w:w="9789"/>
      </w:tblGrid>
      <w:tr>
        <w:trPr/>
        <w:tc>
          <w:tcPr>
            <w:tcW w:w="12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(ii)</w:t>
            </w:r>
          </w:p>
        </w:tc>
        <w:tc>
          <w:tcPr>
            <w:tcW w:w="978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 Bitdeer Business did not comprise a separate legal entity or group of entities during the Carve-out Period. Therefore, it is not meaningful to present share capital or an analysis of reserves. The Group’s equity balance represented the excess or deficits of total assets over total liabilities and was presented as invested capital in the consolidated statements of financial position. Transactions between the Bitdeer Business, Bitmain and BTC during the Carve-out Period were accounted for as related party transactions. Changes in net assets attributed to the Group are presented separately in the consolidated statement of changes in invested</w:t>
            </w:r>
            <w:r>
              <w:rPr>
                <w:caps w:val="false"/>
                <w:smallCaps w:val="false"/>
              </w:rPr>
              <w:t xml:space="preserve"> </w:t>
            </w:r>
            <w:r>
              <w:rPr>
                <w:rFonts w:ascii="Times New Roman;Times;serif" w:hAnsi="Times New Roman;Times;serif"/>
                <w:b w:val="false"/>
                <w:i w:val="false"/>
                <w:caps w:val="false"/>
                <w:smallCaps w:val="false"/>
                <w:color w:val="231F20"/>
                <w:sz w:val="20"/>
              </w:rPr>
              <w:t>capital and equity through the line item “deemed contribution from / (distribution to) related parties”. Equity transactions reflecting the internal financing between Bitdeer Business, Bitmain and BTC are included in the financing activities, presented as deemed contribution from / (distribution to) related parties, in the consolidated statements of cash flows.</w:t>
            </w:r>
          </w:p>
        </w:tc>
      </w:tr>
    </w:tbl>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Consolidation</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Subsequent to the Carve-out Period, the Group’s financial information is prepared on a consolidated basis, for which the consolidation policies are described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color w:val="231F20"/>
          <w:sz w:val="20"/>
        </w:rPr>
      </w:pPr>
      <w:bookmarkStart w:id="766" w:name="Tc_RVtXZda9g0a0XqRFb3Ejrw_5_0"/>
      <w:bookmarkStart w:id="767" w:name="Tc_FUiGABMMwUmoG9IZUAulug_4_0"/>
      <w:bookmarkStart w:id="768" w:name="Tc_P6VkX9TYVUilJSq0_iYhRg_3_6"/>
      <w:bookmarkStart w:id="769" w:name="Tc_LWoa97OJL0GJPzB1RfNrGw_3_4"/>
      <w:bookmarkStart w:id="770" w:name="Tc_tA2L6RjL_kC-eoBfRehosg_3_2"/>
      <w:bookmarkStart w:id="771" w:name="Tc_spmIm56cw0SKTL-mON46xg_3_0"/>
      <w:bookmarkStart w:id="772" w:name="Tc_Of46KtlkVkG7LpUPVSP9wQ_2_4"/>
      <w:bookmarkStart w:id="773" w:name="Tc_6hvYCjhG8kil0IphuZkt_g_1_6"/>
      <w:bookmarkStart w:id="774" w:name="Tc_RboB-D7u4UO4vQIv-BZq4g_1_4"/>
      <w:bookmarkStart w:id="775" w:name="Tc_xcGSb0f6EUuhtHZe2tixEQ_1_2"/>
      <w:bookmarkStart w:id="776" w:name="_2a80943b_fdf1_4d44_9766_158b759c9c96"/>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color w:val="231F20"/>
          <w:sz w:val="20"/>
        </w:rPr>
        <w:t>Subsidiaries are all entities over which the Group has control. The Group controls an entity where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Inter-company transactions, balances and unrealized gains on transactions between the Company and its subsidiaries are eliminated. Unrealized losses are also eliminated unless the transaction provides evidence of an impairment of the transferred asset. The accounting policies of subsidiaries have been changed where necessary to ensure consistency with the policies adopted by the Group.</w:t>
      </w:r>
    </w:p>
    <w:p>
      <w:pPr>
        <w:pStyle w:val="TextBody"/>
        <w:spacing w:before="0" w:after="240"/>
        <w:ind w:left="720" w:right="0" w:hanging="0"/>
        <w:jc w:val="both"/>
        <w:rPr>
          <w:rFonts w:ascii="Times New Roman;Times;serif" w:hAnsi="Times New Roman;Times;serif"/>
          <w:i/>
          <w:color w:val="231F20"/>
          <w:sz w:val="20"/>
        </w:rPr>
      </w:pPr>
      <w:r>
        <w:rPr>
          <w:rFonts w:ascii="Times New Roman;Times;serif" w:hAnsi="Times New Roman;Times;serif"/>
          <w:i/>
          <w:color w:val="231F20"/>
          <w:sz w:val="20"/>
        </w:rPr>
        <w:t>Restatement of prior years’ financial statements</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Presentation on the sale of mining machines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color w:val="231F20"/>
          <w:sz w:val="20"/>
        </w:rPr>
        <w:t xml:space="preserve">During 2021, the Group identified an error in presenting the revenue from the sale of the mining machine as the difference between the selling price and the remaining net book value of the associated mining machine under IAS 16 </w:t>
      </w:r>
      <w:r>
        <w:rPr>
          <w:rFonts w:ascii="Times New Roman;Times;serif" w:hAnsi="Times New Roman;Times;serif"/>
          <w:i/>
          <w:color w:val="231F20"/>
          <w:sz w:val="20"/>
        </w:rPr>
        <w:t>Property, plant and equipment</w:t>
      </w:r>
      <w:r>
        <w:rPr>
          <w:rFonts w:ascii="Times New Roman;Times;serif" w:hAnsi="Times New Roman;Times;serif"/>
          <w:color w:val="231F20"/>
          <w:sz w:val="20"/>
        </w:rPr>
        <w:t xml:space="preserve">. As the sale of mining machines represents contracts with customers in the Group’s ordinary course of business, the transactions should have been accounted for under IFRS 15 </w:t>
      </w:r>
      <w:r>
        <w:rPr>
          <w:rFonts w:ascii="Times New Roman;Times;serif" w:hAnsi="Times New Roman;Times;serif"/>
          <w:i/>
          <w:color w:val="231F20"/>
          <w:sz w:val="20"/>
        </w:rPr>
        <w:t>Revenue from contracts with customers</w:t>
      </w:r>
      <w:r>
        <w:rPr>
          <w:rFonts w:ascii="Times New Roman;Times;serif" w:hAnsi="Times New Roman;Times;serif"/>
          <w:color w:val="231F20"/>
          <w:sz w:val="20"/>
        </w:rPr>
        <w:t>. Revenue from the sale of mining machines should have been recognized at the amount of promised consideration to which the Group is expected to be entitled, and the cost of revenue should have been recognized at the net book value of the mining machines sold.  See Note 2(q) for a detailed discussion on the revenue recognition policy associated with the sale of mining machines. The previously reported combined financial statements for the year ended December 31, 2020 are restated to correct the above error.</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Cash flow presentation on the disposal of cryptocurrencies earned from revenue arrangements</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The Group restated the presentation of disposal of cryptocurrencies earned from revenue arrangements from operating activities to investing activities for the year ended December 31, 2021 as IAS 7 has indicated receipts from sales of intangible assets and debt investments are expected to be classified as investing activities. See Note 2(h) for the accounting policy related to the disposal of cryptocurrencies. The previously reported combined statements of cash flows for the year ended December 31, 2020 have been presented consistently with the current period’s presentation. </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The effects of the above adjustments on the consolidated statements of operations and comprehensive income / (loss) for the year ended December 31, 2020 and the consolidated statements of cash flows for the years ended December 31, 2020 and 2021 are presented below. These adjustments did not have any impact on the net loss or the consolidated statement of financial position for the periods presented.</w:t>
      </w:r>
    </w:p>
    <w:p>
      <w:pPr>
        <w:pStyle w:val="TextBody"/>
        <w:spacing w:before="0" w:after="240"/>
        <w:ind w:left="720" w:right="0" w:hanging="0"/>
        <w:jc w:val="both"/>
        <w:rPr>
          <w:rFonts w:ascii="Times New Roman;Times;serif" w:hAnsi="Times New Roman;Times;serif"/>
          <w:b/>
          <w:color w:val="231F20"/>
          <w:sz w:val="20"/>
        </w:rPr>
      </w:pPr>
      <w:r>
        <w:rPr>
          <w:rFonts w:ascii="Times New Roman;Times;serif" w:hAnsi="Times New Roman;Times;serif"/>
          <w:b/>
          <w:color w:val="231F20"/>
          <w:sz w:val="20"/>
        </w:rPr>
        <w:t>Restated consolidated statements of operations and comprehensive income / (loss)</w:t>
      </w:r>
    </w:p>
    <w:p>
      <w:pPr>
        <w:pStyle w:val="TextBody"/>
        <w:spacing w:before="0" w:after="0"/>
        <w:ind w:left="0" w:right="0" w:hanging="0"/>
        <w:rPr/>
      </w:pPr>
      <w:r>
        <w:rPr/>
        <w:t>​</w:t>
      </w:r>
    </w:p>
    <w:tbl>
      <w:tblPr>
        <w:tblW w:w="7117" w:type="dxa"/>
        <w:jc w:val="left"/>
        <w:tblInd w:w="0" w:type="dxa"/>
        <w:tblCellMar>
          <w:top w:w="0" w:type="dxa"/>
          <w:left w:w="0" w:type="dxa"/>
          <w:bottom w:w="0" w:type="dxa"/>
          <w:right w:w="0" w:type="dxa"/>
        </w:tblCellMar>
      </w:tblPr>
      <w:tblGrid>
        <w:gridCol w:w="1606"/>
        <w:gridCol w:w="326"/>
        <w:gridCol w:w="1756"/>
        <w:gridCol w:w="326"/>
        <w:gridCol w:w="1816"/>
        <w:gridCol w:w="326"/>
        <w:gridCol w:w="961"/>
      </w:tblGrid>
      <w:tr>
        <w:trPr/>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19810" cy="175260"/>
                      <wp:effectExtent l="0" t="0" r="0" b="0"/>
                      <wp:wrapNone/>
                      <wp:docPr id="149" name="Frame148"/>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15060" cy="175260"/>
                      <wp:effectExtent l="0" t="0" r="0" b="0"/>
                      <wp:wrapNone/>
                      <wp:docPr id="151" name="Frame150"/>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153160" cy="175260"/>
                      <wp:effectExtent l="0" t="0" r="0" b="0"/>
                      <wp:wrapNone/>
                      <wp:docPr id="153" name="Frame152"/>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10235" cy="175260"/>
                      <wp:effectExtent l="0" t="0" r="0" b="0"/>
                      <wp:wrapNone/>
                      <wp:docPr id="155" name="Frame154"/>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6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 of adjustment –</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r>
      <w:tr>
        <w:trPr/>
        <w:tc>
          <w:tcPr>
            <w:tcW w:w="160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previously reported</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 of mining machines</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restated</w:t>
            </w:r>
          </w:p>
        </w:tc>
      </w:tr>
      <w:tr>
        <w:trPr/>
        <w:tc>
          <w:tcPr>
            <w:tcW w:w="16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 </w:t>
            </w:r>
          </w:p>
        </w:tc>
        <w:tc>
          <w:tcPr>
            <w:tcW w:w="17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168,850</w:t>
            </w:r>
          </w:p>
        </w:tc>
        <w:tc>
          <w:tcPr>
            <w:tcW w:w="326" w:type="dxa"/>
            <w:tcBorders/>
            <w:shd w:fill="CCEEFF" w:val="clear"/>
            <w:vAlign w:val="center"/>
          </w:tcPr>
          <w:p>
            <w:pPr>
              <w:pStyle w:val="TableContents"/>
              <w:spacing w:before="0" w:after="1"/>
              <w:ind w:left="0" w:right="0" w:hanging="0"/>
              <w:rPr/>
            </w:pPr>
            <w:r>
              <w:rPr/>
              <w:t> </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17,537</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186,387</w:t>
            </w:r>
          </w:p>
        </w:tc>
      </w:tr>
      <w:tr>
        <w:trPr/>
        <w:tc>
          <w:tcPr>
            <w:tcW w:w="16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auto" w:val="clear"/>
            <w:vAlign w:val="center"/>
          </w:tcPr>
          <w:p>
            <w:pPr>
              <w:pStyle w:val="TableContents"/>
              <w:spacing w:before="0" w:after="1"/>
              <w:ind w:left="0" w:right="0" w:hanging="0"/>
              <w:rPr/>
            </w:pPr>
            <w:r>
              <w:rPr/>
              <w:t> </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(192,027)</w:t>
            </w:r>
          </w:p>
        </w:tc>
        <w:tc>
          <w:tcPr>
            <w:tcW w:w="326" w:type="dxa"/>
            <w:tcBorders/>
            <w:shd w:fill="auto" w:val="clear"/>
            <w:vAlign w:val="center"/>
          </w:tcPr>
          <w:p>
            <w:pPr>
              <w:pStyle w:val="TableContents"/>
              <w:spacing w:before="0" w:after="1"/>
              <w:ind w:left="0" w:right="0" w:hanging="0"/>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(17,537)</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(209,564)</w:t>
            </w:r>
          </w:p>
        </w:tc>
      </w:tr>
    </w:tbl>
    <w:p>
      <w:pPr>
        <w:pStyle w:val="TextBody"/>
        <w:spacing w:before="0" w:after="240"/>
        <w:ind w:left="720" w:right="0" w:hanging="0"/>
        <w:jc w:val="both"/>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b/>
          <w:color w:val="231F20"/>
          <w:sz w:val="20"/>
        </w:rPr>
      </w:pPr>
      <w:bookmarkStart w:id="777" w:name="Tc_otQ1_dZgAkOO1RQ5mQ2CSg_5_0"/>
      <w:bookmarkStart w:id="778" w:name="Tc_5tIeaUW8mUuznQyxn5idHw_4_0"/>
      <w:bookmarkStart w:id="779" w:name="Tc_Au2MTlTahUuyBAhampYP5A_3_6"/>
      <w:bookmarkStart w:id="780" w:name="Tc_chTz2TftVUesLDSIiZ4muA_3_4"/>
      <w:bookmarkStart w:id="781" w:name="Tc_ZKHPT0H52UKejuZ7McYC-g_3_2"/>
      <w:bookmarkStart w:id="782" w:name="Tc_funSDnDldUaCr0_o8gjcCw_3_0"/>
      <w:bookmarkStart w:id="783" w:name="Tc_useoeBnMPECTmODLXxts8g_2_4"/>
      <w:bookmarkStart w:id="784" w:name="Tc_4-oMrYXaVkKea7UMGOHLFw_1_6"/>
      <w:bookmarkStart w:id="785" w:name="Tc_zjkc-K-lX06O1ddqKTM1mA_1_4"/>
      <w:bookmarkStart w:id="786" w:name="Tc_ExjC96WkOEmxnUPYWUJ1vQ_1_2"/>
      <w:bookmarkStart w:id="787" w:name="_eb128158_d733_4b17_a283_30c493624cd9"/>
      <w:bookmarkStart w:id="788" w:name="Tc_nUaH5IM4pEGJK4disxnd6A_5_0"/>
      <w:bookmarkStart w:id="789" w:name="Tc_LS7HIrXmcUKRyVle3_fe5w_4_0"/>
      <w:bookmarkStart w:id="790" w:name="Tc_doZo3ZJt00yjoKaTKdlSHg_3_6"/>
      <w:bookmarkStart w:id="791" w:name="Tc_T9gFXK1z0kuj9-L6Gfk4Sw_3_4"/>
      <w:bookmarkStart w:id="792" w:name="Tc_7dssR9y-60OSj3ecYnyYZw_3_2"/>
      <w:bookmarkStart w:id="793" w:name="Tc_S0DVS5ynt0uMeIrRQYBVdg_3_0"/>
      <w:bookmarkStart w:id="794" w:name="Tc_TXmfFZf4IE-aZw8LhxhJSQ_2_4"/>
      <w:bookmarkStart w:id="795" w:name="Tc_-KvYy5AdEkmNtqeOVO3m1g_1_6"/>
      <w:bookmarkStart w:id="796" w:name="Tc_aCqJ0vzhW0W7ywWgviN25A_1_4"/>
      <w:bookmarkStart w:id="797" w:name="Tc_cnxA-RoWoUKNlKIyaw79Sw_1_2"/>
      <w:bookmarkStart w:id="798" w:name="_be7bd656_9051_4a88_b4aa_8788d7110b69"/>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r>
        <w:rPr>
          <w:rFonts w:ascii="Times New Roman;Times;serif" w:hAnsi="Times New Roman;Times;serif"/>
          <w:b/>
          <w:color w:val="231F20"/>
          <w:sz w:val="20"/>
        </w:rPr>
        <w:t>Restated consolidated statements of cash flows</w:t>
      </w:r>
    </w:p>
    <w:tbl>
      <w:tblPr>
        <w:tblW w:w="8557" w:type="dxa"/>
        <w:jc w:val="left"/>
        <w:tblInd w:w="0" w:type="dxa"/>
        <w:tblCellMar>
          <w:top w:w="0" w:type="dxa"/>
          <w:left w:w="0" w:type="dxa"/>
          <w:bottom w:w="0" w:type="dxa"/>
          <w:right w:w="0" w:type="dxa"/>
        </w:tblCellMar>
      </w:tblPr>
      <w:tblGrid>
        <w:gridCol w:w="3046"/>
        <w:gridCol w:w="326"/>
        <w:gridCol w:w="1756"/>
        <w:gridCol w:w="326"/>
        <w:gridCol w:w="1816"/>
        <w:gridCol w:w="326"/>
        <w:gridCol w:w="961"/>
      </w:tblGrid>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rPr/>
            </w:pPr>
            <w:r>
              <w:rPr/>
              <w:t>​</w:t>
            </w:r>
          </w:p>
        </w:tc>
      </w:tr>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0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 of adjustment—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r>
      <w:tr>
        <w:trPr/>
        <w:tc>
          <w:tcPr>
            <w:tcW w:w="304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previously reported</w:t>
            </w:r>
          </w:p>
        </w:tc>
        <w:tc>
          <w:tcPr>
            <w:tcW w:w="326" w:type="dxa"/>
            <w:tcBorders/>
            <w:shd w:fill="auto" w:val="clear"/>
            <w:vAlign w:val="center"/>
          </w:tcPr>
          <w:p>
            <w:pPr>
              <w:pStyle w:val="TableContents"/>
              <w:spacing w:before="0" w:after="1"/>
              <w:ind w:left="0" w:right="0" w:hanging="0"/>
              <w:jc w:val="center"/>
              <w:rPr/>
            </w:pPr>
            <w:r>
              <w:rPr/>
              <w:t>​</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 of mining machines</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restated</w:t>
            </w:r>
          </w:p>
        </w:tc>
      </w:tr>
      <w:tr>
        <w:trPr/>
        <w:tc>
          <w:tcPr>
            <w:tcW w:w="3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17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(124,395)</w:t>
            </w:r>
          </w:p>
        </w:tc>
        <w:tc>
          <w:tcPr>
            <w:tcW w:w="326" w:type="dxa"/>
            <w:tcBorders/>
            <w:shd w:fill="CCEEFF" w:val="clear"/>
            <w:vAlign w:val="center"/>
          </w:tcPr>
          <w:p>
            <w:pPr>
              <w:pStyle w:val="TableContents"/>
              <w:spacing w:before="0" w:after="1"/>
              <w:ind w:left="0" w:right="0" w:hanging="0"/>
              <w:rPr/>
            </w:pPr>
            <w:r>
              <w:rPr/>
              <w:t> </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15,219</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(109,176)</w:t>
            </w:r>
          </w:p>
        </w:tc>
      </w:tr>
      <w:tr>
        <w:trPr/>
        <w:tc>
          <w:tcPr>
            <w:tcW w:w="3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auto" w:val="clear"/>
            <w:vAlign w:val="center"/>
          </w:tcPr>
          <w:p>
            <w:pPr>
              <w:pStyle w:val="TableContents"/>
              <w:spacing w:before="0" w:after="1"/>
              <w:ind w:left="0" w:right="0" w:hanging="0"/>
              <w:rPr/>
            </w:pPr>
            <w:r>
              <w:rPr/>
              <w:t> </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77,961</w:t>
            </w:r>
          </w:p>
        </w:tc>
        <w:tc>
          <w:tcPr>
            <w:tcW w:w="326" w:type="dxa"/>
            <w:tcBorders/>
            <w:shd w:fill="auto" w:val="clear"/>
            <w:vAlign w:val="center"/>
          </w:tcPr>
          <w:p>
            <w:pPr>
              <w:pStyle w:val="TableContents"/>
              <w:spacing w:before="0" w:after="1"/>
              <w:ind w:left="0" w:right="0" w:hanging="0"/>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(15,219)</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62,742</w:t>
            </w:r>
          </w:p>
        </w:tc>
      </w:tr>
    </w:tbl>
    <w:p>
      <w:pPr>
        <w:pStyle w:val="TextBody"/>
        <w:spacing w:before="0" w:after="240"/>
        <w:ind w:left="720" w:right="0" w:hanging="0"/>
        <w:jc w:val="both"/>
        <w:rPr>
          <w:color w:val="231F20"/>
        </w:rPr>
      </w:pPr>
      <w:r>
        <w:rPr>
          <w:color w:val="231F20"/>
        </w:rPr>
        <w:t>​</w:t>
      </w:r>
    </w:p>
    <w:tbl>
      <w:tblPr>
        <w:tblW w:w="8872" w:type="dxa"/>
        <w:jc w:val="left"/>
        <w:tblInd w:w="0" w:type="dxa"/>
        <w:tblCellMar>
          <w:top w:w="0" w:type="dxa"/>
          <w:left w:w="0" w:type="dxa"/>
          <w:bottom w:w="0" w:type="dxa"/>
          <w:right w:w="0" w:type="dxa"/>
        </w:tblCellMar>
      </w:tblPr>
      <w:tblGrid>
        <w:gridCol w:w="3046"/>
        <w:gridCol w:w="326"/>
        <w:gridCol w:w="1756"/>
        <w:gridCol w:w="326"/>
        <w:gridCol w:w="2131"/>
        <w:gridCol w:w="326"/>
        <w:gridCol w:w="961"/>
      </w:tblGrid>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rPr/>
            </w:pPr>
            <w:r>
              <w:rPr/>
              <w:t>​</w:t>
            </w:r>
          </w:p>
        </w:tc>
      </w:tr>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21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 of adjustment—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r>
      <w:tr>
        <w:trPr/>
        <w:tc>
          <w:tcPr>
            <w:tcW w:w="304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previously reported</w:t>
            </w:r>
          </w:p>
        </w:tc>
        <w:tc>
          <w:tcPr>
            <w:tcW w:w="326" w:type="dxa"/>
            <w:tcBorders/>
            <w:shd w:fill="auto" w:val="clear"/>
            <w:vAlign w:val="center"/>
          </w:tcPr>
          <w:p>
            <w:pPr>
              <w:pStyle w:val="TableContents"/>
              <w:spacing w:before="0" w:after="1"/>
              <w:ind w:left="0" w:right="0" w:hanging="0"/>
              <w:jc w:val="center"/>
              <w:rPr/>
            </w:pPr>
            <w:r>
              <w:rPr/>
              <w:t>​</w:t>
            </w:r>
          </w:p>
        </w:tc>
        <w:tc>
          <w:tcPr>
            <w:tcW w:w="21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disposal of cryptocurrencies</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restated</w:t>
            </w:r>
          </w:p>
        </w:tc>
      </w:tr>
      <w:tr>
        <w:trPr/>
        <w:tc>
          <w:tcPr>
            <w:tcW w:w="304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17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454,656</w:t>
            </w:r>
          </w:p>
        </w:tc>
        <w:tc>
          <w:tcPr>
            <w:tcW w:w="326" w:type="dxa"/>
            <w:tcBorders/>
            <w:shd w:fill="CCEEFF" w:val="clear"/>
            <w:vAlign w:val="center"/>
          </w:tcPr>
          <w:p>
            <w:pPr>
              <w:pStyle w:val="TableContents"/>
              <w:spacing w:before="0" w:after="1"/>
              <w:ind w:left="0" w:right="0" w:hanging="0"/>
              <w:rPr/>
            </w:pPr>
            <w:r>
              <w:rPr/>
              <w:t> </w:t>
            </w:r>
          </w:p>
        </w:tc>
        <w:tc>
          <w:tcPr>
            <w:tcW w:w="21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(507,122)</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(52,466)</w:t>
            </w:r>
          </w:p>
        </w:tc>
      </w:tr>
      <w:tr>
        <w:trPr/>
        <w:tc>
          <w:tcPr>
            <w:tcW w:w="304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auto" w:val="clear"/>
            <w:vAlign w:val="center"/>
          </w:tcPr>
          <w:p>
            <w:pPr>
              <w:pStyle w:val="TableContents"/>
              <w:spacing w:before="0" w:after="1"/>
              <w:ind w:left="0" w:right="0" w:hanging="0"/>
              <w:rPr/>
            </w:pPr>
            <w:r>
              <w:rPr/>
              <w:t> </w:t>
            </w:r>
          </w:p>
        </w:tc>
        <w:tc>
          <w:tcPr>
            <w:tcW w:w="17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(112,553)</w:t>
            </w:r>
          </w:p>
        </w:tc>
        <w:tc>
          <w:tcPr>
            <w:tcW w:w="326" w:type="dxa"/>
            <w:tcBorders/>
            <w:shd w:fill="auto" w:val="clear"/>
            <w:vAlign w:val="center"/>
          </w:tcPr>
          <w:p>
            <w:pPr>
              <w:pStyle w:val="TableContents"/>
              <w:spacing w:before="0" w:after="1"/>
              <w:ind w:left="0" w:right="0" w:hanging="0"/>
              <w:rPr/>
            </w:pPr>
            <w:r>
              <w:rPr/>
              <w:t> </w:t>
            </w:r>
          </w:p>
        </w:tc>
        <w:tc>
          <w:tcPr>
            <w:tcW w:w="21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507,122</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394,569</w:t>
            </w:r>
          </w:p>
        </w:tc>
      </w:tr>
    </w:tbl>
    <w:p>
      <w:pPr>
        <w:pStyle w:val="TextBody"/>
        <w:spacing w:before="0" w:after="240"/>
        <w:ind w:left="720" w:right="0" w:hanging="0"/>
        <w:jc w:val="both"/>
        <w:rPr>
          <w:color w:val="231F20"/>
        </w:rPr>
      </w:pPr>
      <w:r>
        <w:rPr>
          <w:color w:val="231F20"/>
        </w:rPr>
        <w:t>​</w:t>
      </w:r>
    </w:p>
    <w:p>
      <w:pPr>
        <w:pStyle w:val="TextBody"/>
        <w:spacing w:before="0" w:after="240"/>
        <w:ind w:left="720" w:right="0" w:hanging="0"/>
        <w:jc w:val="both"/>
        <w:rPr>
          <w:rFonts w:ascii="Times New Roman;Times;serif" w:hAnsi="Times New Roman;Times;serif"/>
          <w:i/>
          <w:color w:val="231F20"/>
          <w:sz w:val="20"/>
        </w:rPr>
      </w:pPr>
      <w:r>
        <w:rPr>
          <w:rFonts w:ascii="Times New Roman;Times;serif" w:hAnsi="Times New Roman;Times;serif"/>
          <w:i/>
          <w:color w:val="231F20"/>
          <w:sz w:val="20"/>
        </w:rPr>
        <w:t>Reclassification</w:t>
      </w:r>
    </w:p>
    <w:p>
      <w:pPr>
        <w:pStyle w:val="TextBody"/>
        <w:spacing w:before="0"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Certain prior year amounts have been reclassified to conform to the current year presentation. These reclassifications had no impact on net earnings and financial position.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Basis of accounting</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except for the consolidated statements of cash flows, are prepared on the accrual basis. The measurement basis used is historical cost, except for certain accounts which are measured using the basis mentioned in the relevant notes herein.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consolidated statements of cash flows are prepared using the indirect method and present the changes in cash from operating, investing, and financing activities.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provide comparative information in respect of the previous period.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Foreign currency translation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Functional and presentation currency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Items included in the consolidated financial statements of each of the Group’s subsidiaries are measured using the currency of the primary economic environment in which the subsidiary operates (the “functional currency”). The Group presents its consolidated financial statements in United States Dollars (“USD”, “US$”, or “$”).</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Transactions and balances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Foreign currency transactions during the year are translated at the foreign exchange rates ruling at the transaction dates. Monetary assets and liabilities denominated in foreign currencies are translated at the foreign exchange rates ruling at the end of the reporting period. Exchange gains and losses are recognized in profit or loss.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Foreign currency translation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results and financial position of foreign operations that have a functional currency different from the presentation currency are translated into the presentation currency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assets and liabilities for each consolidated statement of financial position presented are translated at the closing rate at the date of that balance sheet,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income and expenses for each consolidated statement of operations and comprehensive income </w:t>
            </w:r>
            <w:r>
              <w:rPr>
                <w:rFonts w:ascii="Times New Roman;Times;serif" w:hAnsi="Times New Roman;Times;serif"/>
                <w:b w:val="false"/>
                <w:i w:val="false"/>
                <w:caps w:val="false"/>
                <w:smallCaps w:val="false"/>
                <w:sz w:val="20"/>
              </w:rPr>
              <w:t>/ (loss) are translated at average exchange rates, and</w:t>
            </w:r>
          </w:p>
        </w:tc>
      </w:tr>
    </w:tbl>
    <w:tbl>
      <w:tblPr>
        <w:tblW w:w="7131" w:type="dxa"/>
        <w:jc w:val="left"/>
        <w:tblInd w:w="0" w:type="dxa"/>
        <w:tblCellMar>
          <w:top w:w="28" w:type="dxa"/>
          <w:left w:w="28" w:type="dxa"/>
          <w:bottom w:w="28" w:type="dxa"/>
          <w:right w:w="28" w:type="dxa"/>
        </w:tblCellMar>
      </w:tblPr>
      <w:tblGrid>
        <w:gridCol w:w="124"/>
        <w:gridCol w:w="256"/>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75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all resulting exchange differences are recognized in invested capital</w:t>
            </w:r>
            <w:r>
              <w:rPr>
                <w:caps w:val="false"/>
                <w:smallCaps w:val="false"/>
              </w:rPr>
              <w:t xml:space="preserve"> </w:t>
            </w:r>
            <w:r>
              <w:rPr>
                <w:rFonts w:ascii="Times New Roman;Times;serif" w:hAnsi="Times New Roman;Times;serif"/>
                <w:b w:val="false"/>
                <w:i w:val="false"/>
                <w:caps w:val="false"/>
                <w:smallCaps w:val="false"/>
                <w:color w:val="231F20"/>
                <w:sz w:val="20"/>
              </w:rPr>
              <w:t>and reserves.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Use of estimates and judgments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IFRSs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the carrying values of assets and liabilities that are not readily apparent from other sources. Actual results may differ from these estimates.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Judgments made by management in the application of IFRSs that have significant effects on the financial statements and major sources of estimation uncertainty are discussed in Note 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Related parties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 party is considered to be related to the Group if:</w:t>
      </w:r>
    </w:p>
    <w:tbl>
      <w:tblPr>
        <w:tblW w:w="6861" w:type="dxa"/>
        <w:jc w:val="left"/>
        <w:tblInd w:w="0" w:type="dxa"/>
        <w:tblCellMar>
          <w:top w:w="28" w:type="dxa"/>
          <w:left w:w="28" w:type="dxa"/>
          <w:bottom w:w="28" w:type="dxa"/>
          <w:right w:w="28" w:type="dxa"/>
        </w:tblCellMar>
      </w:tblPr>
      <w:tblGrid>
        <w:gridCol w:w="124"/>
        <w:gridCol w:w="31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(a)</w:t>
            </w:r>
          </w:p>
        </w:tc>
        <w:tc>
          <w:tcPr>
            <w:tcW w:w="6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party is a person or a close member of that person’s family and that person</w:t>
            </w:r>
          </w:p>
        </w:tc>
      </w:tr>
    </w:tbl>
    <w:tbl>
      <w:tblPr>
        <w:tblW w:w="3996" w:type="dxa"/>
        <w:jc w:val="left"/>
        <w:tblInd w:w="0" w:type="dxa"/>
        <w:tblCellMar>
          <w:top w:w="28" w:type="dxa"/>
          <w:left w:w="28" w:type="dxa"/>
          <w:bottom w:w="28" w:type="dxa"/>
          <w:right w:w="28" w:type="dxa"/>
        </w:tblCellMar>
      </w:tblPr>
      <w:tblGrid>
        <w:gridCol w:w="124"/>
        <w:gridCol w:w="226"/>
        <w:gridCol w:w="364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w:t>
            </w:r>
          </w:p>
        </w:tc>
        <w:tc>
          <w:tcPr>
            <w:tcW w:w="3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has control or joint control over the Group;</w:t>
            </w:r>
          </w:p>
        </w:tc>
      </w:tr>
    </w:tbl>
    <w:tbl>
      <w:tblPr>
        <w:tblW w:w="4086" w:type="dxa"/>
        <w:jc w:val="left"/>
        <w:tblInd w:w="0" w:type="dxa"/>
        <w:tblCellMar>
          <w:top w:w="28" w:type="dxa"/>
          <w:left w:w="28" w:type="dxa"/>
          <w:bottom w:w="28" w:type="dxa"/>
          <w:right w:w="28" w:type="dxa"/>
        </w:tblCellMar>
      </w:tblPr>
      <w:tblGrid>
        <w:gridCol w:w="124"/>
        <w:gridCol w:w="286"/>
        <w:gridCol w:w="367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ii)</w:t>
            </w:r>
          </w:p>
        </w:tc>
        <w:tc>
          <w:tcPr>
            <w:tcW w:w="3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has significant influence over the Group; or</w:t>
            </w:r>
          </w:p>
        </w:tc>
      </w:tr>
    </w:tbl>
    <w:tbl>
      <w:tblPr>
        <w:tblW w:w="7446" w:type="dxa"/>
        <w:jc w:val="left"/>
        <w:tblInd w:w="0" w:type="dxa"/>
        <w:tblCellMar>
          <w:top w:w="28" w:type="dxa"/>
          <w:left w:w="28" w:type="dxa"/>
          <w:bottom w:w="28" w:type="dxa"/>
          <w:right w:w="28" w:type="dxa"/>
        </w:tblCellMar>
      </w:tblPr>
      <w:tblGrid>
        <w:gridCol w:w="124"/>
        <w:gridCol w:w="346"/>
        <w:gridCol w:w="6976"/>
      </w:tblGrid>
      <w:tr>
        <w:trPr/>
        <w:tc>
          <w:tcPr>
            <w:tcW w:w="1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iii)</w:t>
            </w:r>
          </w:p>
        </w:tc>
        <w:tc>
          <w:tcPr>
            <w:tcW w:w="69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is a member of the key management personnel of the Group or a parent of the Group;</w:t>
            </w:r>
          </w:p>
        </w:tc>
      </w:tr>
    </w:tbl>
    <w:tbl>
      <w:tblPr>
        <w:tblW w:w="6096" w:type="dxa"/>
        <w:jc w:val="left"/>
        <w:tblInd w:w="0" w:type="dxa"/>
        <w:tblCellMar>
          <w:top w:w="28" w:type="dxa"/>
          <w:left w:w="28" w:type="dxa"/>
          <w:bottom w:w="28" w:type="dxa"/>
          <w:right w:w="28" w:type="dxa"/>
        </w:tblCellMar>
      </w:tblPr>
      <w:tblGrid>
        <w:gridCol w:w="124"/>
        <w:gridCol w:w="331"/>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(b)</w:t>
            </w:r>
          </w:p>
        </w:tc>
        <w:tc>
          <w:tcPr>
            <w:tcW w:w="5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party is an entity where any of the following conditions applies:</w:t>
            </w:r>
          </w:p>
        </w:tc>
      </w:tr>
    </w:tbl>
    <w:tbl>
      <w:tblPr>
        <w:tblW w:w="5106" w:type="dxa"/>
        <w:jc w:val="left"/>
        <w:tblInd w:w="0" w:type="dxa"/>
        <w:tblCellMar>
          <w:top w:w="28" w:type="dxa"/>
          <w:left w:w="28" w:type="dxa"/>
          <w:bottom w:w="28" w:type="dxa"/>
          <w:right w:w="28" w:type="dxa"/>
        </w:tblCellMar>
      </w:tblPr>
      <w:tblGrid>
        <w:gridCol w:w="124"/>
        <w:gridCol w:w="226"/>
        <w:gridCol w:w="475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w:t>
            </w:r>
          </w:p>
        </w:tc>
        <w:tc>
          <w:tcPr>
            <w:tcW w:w="4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entity and the Group are members of the same Group;</w:t>
            </w:r>
          </w:p>
        </w:tc>
      </w:tr>
    </w:tbl>
    <w:tbl>
      <w:tblPr>
        <w:tblW w:w="10205" w:type="dxa"/>
        <w:jc w:val="left"/>
        <w:tblInd w:w="0" w:type="dxa"/>
        <w:tblCellMar>
          <w:top w:w="28" w:type="dxa"/>
          <w:left w:w="28" w:type="dxa"/>
          <w:bottom w:w="28" w:type="dxa"/>
          <w:right w:w="28" w:type="dxa"/>
        </w:tblCellMar>
      </w:tblPr>
      <w:tblGrid>
        <w:gridCol w:w="124"/>
        <w:gridCol w:w="282"/>
        <w:gridCol w:w="9799"/>
      </w:tblGrid>
      <w:tr>
        <w:trPr/>
        <w:tc>
          <w:tcPr>
            <w:tcW w:w="12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ii)</w:t>
            </w:r>
          </w:p>
        </w:tc>
        <w:tc>
          <w:tcPr>
            <w:tcW w:w="979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 entity is an associate or joint venture of the other entity (or of a parent, subsidiary or fellow subsidiary of the other entity);</w:t>
            </w:r>
          </w:p>
        </w:tc>
      </w:tr>
    </w:tbl>
    <w:tbl>
      <w:tblPr>
        <w:tblW w:w="5976" w:type="dxa"/>
        <w:jc w:val="left"/>
        <w:tblInd w:w="0" w:type="dxa"/>
        <w:tblCellMar>
          <w:top w:w="28" w:type="dxa"/>
          <w:left w:w="28" w:type="dxa"/>
          <w:bottom w:w="28" w:type="dxa"/>
          <w:right w:w="28" w:type="dxa"/>
        </w:tblCellMar>
      </w:tblPr>
      <w:tblGrid>
        <w:gridCol w:w="124"/>
        <w:gridCol w:w="34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iii)</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entity and the Group are joint ventures of the same third party;</w:t>
            </w:r>
          </w:p>
        </w:tc>
      </w:tr>
    </w:tbl>
    <w:tbl>
      <w:tblPr>
        <w:tblW w:w="8511" w:type="dxa"/>
        <w:jc w:val="left"/>
        <w:tblInd w:w="0" w:type="dxa"/>
        <w:tblCellMar>
          <w:top w:w="28" w:type="dxa"/>
          <w:left w:w="28" w:type="dxa"/>
          <w:bottom w:w="28" w:type="dxa"/>
          <w:right w:w="28" w:type="dxa"/>
        </w:tblCellMar>
      </w:tblPr>
      <w:tblGrid>
        <w:gridCol w:w="124"/>
        <w:gridCol w:w="331"/>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iv)</w:t>
            </w:r>
          </w:p>
        </w:tc>
        <w:tc>
          <w:tcPr>
            <w:tcW w:w="8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 entity is a joint venture of a third entity and the other entity is an associate of the third entity;</w:t>
            </w:r>
          </w:p>
        </w:tc>
      </w:tr>
    </w:tbl>
    <w:tbl>
      <w:tblPr>
        <w:tblW w:w="10205" w:type="dxa"/>
        <w:jc w:val="left"/>
        <w:tblInd w:w="0" w:type="dxa"/>
        <w:tblCellMar>
          <w:top w:w="28" w:type="dxa"/>
          <w:left w:w="28" w:type="dxa"/>
          <w:bottom w:w="28" w:type="dxa"/>
          <w:right w:w="28" w:type="dxa"/>
        </w:tblCellMar>
      </w:tblPr>
      <w:tblGrid>
        <w:gridCol w:w="124"/>
        <w:gridCol w:w="267"/>
        <w:gridCol w:w="9814"/>
      </w:tblGrid>
      <w:tr>
        <w:trPr/>
        <w:tc>
          <w:tcPr>
            <w:tcW w:w="12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v)</w:t>
            </w:r>
          </w:p>
        </w:tc>
        <w:tc>
          <w:tcPr>
            <w:tcW w:w="981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entity is a post-employment benefit plan for the benefit of employees of either the Group or an entity related to the Group;</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6486" w:type="dxa"/>
        <w:jc w:val="left"/>
        <w:tblInd w:w="0" w:type="dxa"/>
        <w:tblCellMar>
          <w:top w:w="28" w:type="dxa"/>
          <w:left w:w="28" w:type="dxa"/>
          <w:bottom w:w="28" w:type="dxa"/>
          <w:right w:w="28" w:type="dxa"/>
        </w:tblCellMar>
      </w:tblPr>
      <w:tblGrid>
        <w:gridCol w:w="124"/>
        <w:gridCol w:w="331"/>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vi)</w:t>
            </w:r>
          </w:p>
        </w:tc>
        <w:tc>
          <w:tcPr>
            <w:tcW w:w="6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entity is controlled or jointly controlled by a person identified in (a);</w:t>
            </w:r>
          </w:p>
        </w:tc>
      </w:tr>
    </w:tbl>
    <w:tbl>
      <w:tblPr>
        <w:tblW w:w="10205" w:type="dxa"/>
        <w:jc w:val="left"/>
        <w:tblInd w:w="0" w:type="dxa"/>
        <w:tblCellMar>
          <w:top w:w="28" w:type="dxa"/>
          <w:left w:w="28" w:type="dxa"/>
          <w:bottom w:w="28" w:type="dxa"/>
          <w:right w:w="28" w:type="dxa"/>
        </w:tblCellMar>
      </w:tblPr>
      <w:tblGrid>
        <w:gridCol w:w="124"/>
        <w:gridCol w:w="373"/>
        <w:gridCol w:w="9708"/>
      </w:tblGrid>
      <w:tr>
        <w:trPr/>
        <w:tc>
          <w:tcPr>
            <w:tcW w:w="12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vii)</w:t>
            </w:r>
          </w:p>
        </w:tc>
        <w:tc>
          <w:tcPr>
            <w:tcW w:w="970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person identified in (a)(i) has significant influence over the entity or is a member of the key management personnel of the entity (or of a parent of the entity); or</w:t>
            </w:r>
          </w:p>
        </w:tc>
      </w:tr>
    </w:tbl>
    <w:tbl>
      <w:tblPr>
        <w:tblW w:w="10205" w:type="dxa"/>
        <w:jc w:val="left"/>
        <w:tblInd w:w="0" w:type="dxa"/>
        <w:tblCellMar>
          <w:top w:w="28" w:type="dxa"/>
          <w:left w:w="28" w:type="dxa"/>
          <w:bottom w:w="28" w:type="dxa"/>
          <w:right w:w="28" w:type="dxa"/>
        </w:tblCellMar>
      </w:tblPr>
      <w:tblGrid>
        <w:gridCol w:w="124"/>
        <w:gridCol w:w="438"/>
        <w:gridCol w:w="9643"/>
      </w:tblGrid>
      <w:tr>
        <w:trPr/>
        <w:tc>
          <w:tcPr>
            <w:tcW w:w="124"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viii)</w:t>
            </w:r>
          </w:p>
        </w:tc>
        <w:tc>
          <w:tcPr>
            <w:tcW w:w="964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entity, or any member of the Group of which it is a part, provides key management personnel services to the Group or the parent of the Group.</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Close members of the family of a person are those family members who may be expected to influence, or be influenced by, that person in their dealings with the entity.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Cash, cash equivalents and restricted cash</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comprise cash in banks and on hand and short-term, highly liquid investments that are readily convertible into known amounts of cash which are subject to an insignificant risk of changes in value and are within three months of maturity at acquisition. Cash and cash equivalents are assessed for expected credit losses. See further discussion regarding expected credit loss in Note 2(u).</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is required to hold a defined amount of cash as security under the terms of standby letters of credits arrangement. See further discussion in Note 6.</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Trade receivables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Trade receivables are recognized when the Group has an unconditional right to receive consideration. A right to receive consideration is unconditional if only the passage of time is required before payment of that consideration is due. Trade receivables are stated at amortized cost, less a loss allowance based on lifetime expected credit losses at each reporting date. See further discussion regarding expected credit loss in Note 2(u).</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Cryptocurrencies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Cryptocurrencies include USD Coin (“USDC”) and cryptocurrencies other than USDC held in the Group’s cryptocurrency wallets.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USDC</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USDC is accounted for as a financial instrument as one USDC can be redeemed for one U.S.dollar on demand from the issuer. USDC, classified as a debt investment, is measured at fair value through profit or loss.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Cryptocurrencies other than USDC</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Cryptocurrencies other than USDC are, by their nature, identifiable non-monetary assets that lack physical substance. Future economic benefits attributable to these cryptocurrencies are expected to flow to the Group because these cryptocurrencies can be exchanged for fiat currencies. Furthermore, the cost of the Group’s cryptocurrencies other than USDC can be measured using the quoted price of such cryptocurrencies at the time the fair value is being measured.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accounts for the cryptocurrencies other than USDC as intangible assets with indefinite useful lives in its consolidated statements of financial position because, at the time of assessment, there is no foreseeable limit to the period over which such assets are expected to generate cash flows.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further adopts the cost model to account for cryptocurrencies other than USDC and reviews their useful life and impairment at each reporting date in accordance with IAS 38 </w:t>
      </w:r>
      <w:r>
        <w:rPr>
          <w:rFonts w:ascii="Times New Roman;Times;serif" w:hAnsi="Times New Roman;Times;serif"/>
          <w:i/>
          <w:sz w:val="20"/>
        </w:rPr>
        <w:t>Intangible Assets</w:t>
      </w:r>
      <w:r>
        <w:rPr>
          <w:rFonts w:ascii="Times New Roman;Times;serif" w:hAnsi="Times New Roman;Times;serif"/>
          <w:sz w:val="20"/>
        </w:rPr>
        <w:t>. The Group accounts for cryptocurrencies other than USDC at cost, instead of revaluing these cryptocurrencies at their fair value on each accounting reference date, because the latter model is subject to inherent and substantial volatility in the value of these cryptocurrencies from time to time. In addition, the Group believes that the cost model better reflects the Group’s business model, as the Group is not engaged in the cryptocurrency trading business.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Gains or losses arising from the disposal of cryptocurrencies other than USDC are determined as the difference between the net disposal proceeds and the carrying amount of the assets. The Group recognizes realized gains or losses on the date of the disposal using the first-in-first-out method of accounting.</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Cryptocurrency lending arrangements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enters into arrangements with counterparties to lend cryptocurrencies on an unsecured basis. No collateral is held for the cryptocurrencies lent. Upon lending, the Group derecognizes the cryptocurrencies lent and concurrently recognizes cryptocurrency receivables which are measured at the fair value of the cryptocurrencies lent based on their respective quoted prices initially and subsequently on the measurement date and adjusted for expected credit losses. Any differences between the carrying amount of the derecognized cryptocurrencies and the initial measurement of the cryptocurrency receivables, if applicable, and the change in fair value of the cryptocurrencies lent, are recognized in other operating income / (expenses) on the consolidated statements of operations and comprehensive income / (loss). See further discussion regarding credit losses from cryptocurrency receivables in Note 2(u). Also refer to Note 20 for more information.</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Cryptocurrency-denoted wealth management products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purchased two types of wealth management products during the year ended December 31, 2022.</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Wealth management product type A</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enters into arrangements with the Matrixport Group, a related party, to purchase cryptocurrency-denoted wealth management products which represent units of interest in the underlying cryptocurrency trading account and the value of the units is based on the performance of the trading account managed by the Matrixport Group. The Group derecognizes the cryptocurrencies paid and concurrently recognizes a cryptocurrency receivable which gives rise to a variable return linked to the performance of the underlying trading account. The receivable contains an embedded derivative which is accounted for separately as an asset or liability based on the change in the fair value of the trading account. The cryptocurrency receivable is measured at the fair value of the cryptocurrencies invested based on their respective quoted prices on the measurement date and adjusted for expected credit losses. Any differences between the carrying amount of the derecognized cryptocurrencies and the initial measurement of the cryptocurrency receivables, if applicable, and the change in fair value of the cryptocurrencies invested, are recognized in other operating income / (expenses) on the consolidated statements of operations and comprehensive income / (loss).</w:t>
      </w:r>
    </w:p>
    <w:p>
      <w:pPr>
        <w:pStyle w:val="TextBody"/>
        <w:spacing w:before="0" w:after="240"/>
        <w:ind w:left="360" w:right="0" w:firstLine="360"/>
        <w:jc w:val="both"/>
        <w:rPr>
          <w:rFonts w:ascii="Times New Roman;Times;serif" w:hAnsi="Times New Roman;Times;serif"/>
          <w:i/>
          <w:sz w:val="20"/>
        </w:rPr>
      </w:pPr>
      <w:r>
        <w:rPr>
          <w:rFonts w:ascii="Times New Roman;Times;serif" w:hAnsi="Times New Roman;Times;serif"/>
          <w:i/>
          <w:sz w:val="20"/>
        </w:rPr>
        <w:t>Wealth management product type B</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enters into arrangements with the Matrixport Group, a related party, to purchase cryptocurrency-denoted wealth management products which represent variable-interest cryptocurrency deposit at Matrixport Group. The deposit is not protected by any deposit insurance scheme and non-secured, and the Group may lose some or all of the amount deposited in extreme market conditions. Upon withdrawal, the Group receives the same type of cryptocurrency in the same quantity in principle plus additional interest returns. The deposit can be withdrawn on demand and is generally delivered to the Group within 72 hours. The nature of the wealth management product type B is, in essence, a cryptocurrency lending arrangement. Refer to the discussion on the accounting of cryptocurrency lending arrangements above.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See further discussion regarding credit losses from cryptocurrency receivables in Note 2(u). Also refer to Note 20 for more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bookmarkStart w:id="799" w:name="Tc_tPCh6r8r6UOdZL6e27ZN0g_1_0"/>
      <w:bookmarkStart w:id="800" w:name="_ea620491_e08e_410e_b5ca_1251658df578"/>
      <w:bookmarkEnd w:id="799"/>
      <w:bookmarkEnd w:id="800"/>
      <w:r>
        <w:rPr>
          <w:rFonts w:ascii="Times New Roman;Times;serif" w:hAnsi="Times New Roman;Times;serif"/>
          <w:sz w:val="20"/>
        </w:rPr>
        <w:t>The Group presents the revenue recognized on the acceptance of cryptocurrencies, which is a non-cash item, as an adjustment to remove the non-cash item for the cash flows from operating activities and the disposals of cryptocurrencies received in revenue arrangements are presented as cash flows from investing activities in the consolidated statements of cash flows. The purchases and disposals of cryptocurrencies associated with investment or lending transactions are presented as investing activities in the consolidated statements of cash flows.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Prepaid expenses and other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Prepaid expenses represent prepayments made for operational purposes, such as prepaid utility fees and insurance expenses. Prepaid expenses are amortized over their future beneficial periods using the straight-line method or at a point in time upon the Group’s receipt of the underlying goods or service.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Other assets generally consisted of deposits paid to various service providers, such as lessors and electricity vendors.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Intangible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acquired by the Group are stated at cost less accumulated amortization (where the estimated useful life is finite) and impairment losses.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Amortization of intangible assets with finite useful lives is charged to profit or loss on a straight-line basis over the assets’ estimated useful life, which is the period over which an asset is expected to be available for use. The estimates and associated assumptions of useful life determined by the Group are based on technical or commercial obsolescence, legal or contractual limits on the use of the asset, and other relevant factors. The following intangible assets with finite useful lives are amortized from the date they are available for use and their estimated useful lives are as follows:</w:t>
      </w:r>
    </w:p>
    <w:tbl>
      <w:tblPr>
        <w:tblW w:w="1547" w:type="dxa"/>
        <w:jc w:val="left"/>
        <w:tblInd w:w="0" w:type="dxa"/>
        <w:tblCellMar>
          <w:top w:w="0" w:type="dxa"/>
          <w:left w:w="0" w:type="dxa"/>
          <w:bottom w:w="0" w:type="dxa"/>
          <w:right w:w="0" w:type="dxa"/>
        </w:tblCellMar>
      </w:tblPr>
      <w:tblGrid>
        <w:gridCol w:w="826"/>
        <w:gridCol w:w="721"/>
      </w:tblGrid>
      <w:tr>
        <w:trPr/>
        <w:tc>
          <w:tcPr>
            <w:tcW w:w="8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r>
      <w:tr>
        <w:trPr/>
        <w:tc>
          <w:tcPr>
            <w:tcW w:w="826" w:type="dxa"/>
            <w:tcBorders/>
            <w:shd w:fill="CCEEFF"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Both the period and method of amortization are reviewed annually.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 as set out above.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k.</w:t>
      </w:r>
      <w:r>
        <w:rPr>
          <w:rFonts w:ascii="Times New Roman;Times;serif" w:hAnsi="Times New Roman;Times;serif"/>
          <w:b/>
          <w:sz w:val="20"/>
        </w:rPr>
        <w:t>Property, plant and equipment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Property, plant and equipment are measured at cost, less accumulated depreciation and impairment losses, if any.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Property, plant and equipment are recorded at purchase cost. Direct labor and other directly attributable costs incurred to construct new assets and upgrade existing assets are capitalized. Repairs and maintenance expenditures are recognized in the consolidated statements of operations and comprehensive income / (loss) as incurred. Significant renewals and betterments are capitalized.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bookmarkStart w:id="801" w:name="Tc_vlCTfCfnhUSUtoYaHtjLxg_3_2"/>
      <w:bookmarkStart w:id="802" w:name="Tc_bcIITGUv-0KpMSsgPaqeOg_3_0"/>
      <w:bookmarkStart w:id="803" w:name="Tc_pdYNrV5Rzk2oGrl6NAwjGA_2_0"/>
      <w:bookmarkStart w:id="804" w:name="Tc_9N_ak78CvEGD_UOwUyWNLw_1_0"/>
      <w:bookmarkStart w:id="805" w:name="Tc_zmhZ7l6saUmrJD1BCX_nbA_5_0"/>
      <w:bookmarkStart w:id="806" w:name="Tc_AmfIbKnK20iYlW7SwuygcQ_4_1"/>
      <w:bookmarkStart w:id="807" w:name="Tc_jiUavekYrUyoQNO_FXeBDg_4_0"/>
      <w:bookmarkStart w:id="808" w:name="Tc_ASrz6erjaUGKg_ZYK-904Q_3_1"/>
      <w:bookmarkStart w:id="809" w:name="Tc_8kKtGfgP3kqtR9zUfgzICA_3_0"/>
      <w:bookmarkStart w:id="810" w:name="Tc_Dj5ne-XhVEe-WWJBd4GQAA_2_1"/>
      <w:bookmarkStart w:id="811" w:name="Tc_AJh05UxsI0-67BCd-LK6pw_2_0"/>
      <w:bookmarkStart w:id="812" w:name="Tc_INPdTgZgOUe27eW7ptmttw_1_0"/>
      <w:bookmarkEnd w:id="801"/>
      <w:bookmarkEnd w:id="802"/>
      <w:bookmarkEnd w:id="803"/>
      <w:bookmarkEnd w:id="804"/>
      <w:bookmarkEnd w:id="805"/>
      <w:bookmarkEnd w:id="806"/>
      <w:bookmarkEnd w:id="807"/>
      <w:bookmarkEnd w:id="808"/>
      <w:bookmarkEnd w:id="809"/>
      <w:bookmarkEnd w:id="810"/>
      <w:bookmarkEnd w:id="811"/>
      <w:bookmarkEnd w:id="812"/>
      <w:r>
        <w:rPr>
          <w:rFonts w:ascii="Times New Roman;Times;serif" w:hAnsi="Times New Roman;Times;serif"/>
          <w:sz w:val="20"/>
        </w:rPr>
        <w:t>Property, plant and equipment are depreciated using the straight-line method based on the estimated useful lives of the assets as follows:</w:t>
      </w:r>
    </w:p>
    <w:p>
      <w:pPr>
        <w:pStyle w:val="TextBody"/>
        <w:spacing w:before="0" w:after="0"/>
        <w:ind w:left="0" w:right="0" w:hanging="0"/>
        <w:rPr/>
      </w:pPr>
      <w:r>
        <w:rPr/>
        <w:t>​</w:t>
      </w:r>
    </w:p>
    <w:tbl>
      <w:tblPr>
        <w:tblW w:w="3287" w:type="dxa"/>
        <w:jc w:val="left"/>
        <w:tblInd w:w="0" w:type="dxa"/>
        <w:tblCellMar>
          <w:top w:w="0" w:type="dxa"/>
          <w:left w:w="0" w:type="dxa"/>
          <w:bottom w:w="0" w:type="dxa"/>
          <w:right w:w="0" w:type="dxa"/>
        </w:tblCellMar>
      </w:tblPr>
      <w:tblGrid>
        <w:gridCol w:w="2161"/>
        <w:gridCol w:w="112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72235" cy="175260"/>
                      <wp:effectExtent l="0" t="0" r="0" b="0"/>
                      <wp:wrapNone/>
                      <wp:docPr id="156" name="Frame155"/>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15010" cy="175260"/>
                      <wp:effectExtent l="0" t="0" r="0" b="0"/>
                      <wp:wrapNone/>
                      <wp:docPr id="157" name="Frame156"/>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CCEEFF"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 years</w:t>
            </w:r>
          </w:p>
        </w:tc>
      </w:tr>
      <w:tr>
        <w:trPr/>
        <w:tc>
          <w:tcPr>
            <w:tcW w:w="2161" w:type="dxa"/>
            <w:tcBorders/>
            <w:shd w:fill="auto"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Unlimited</w:t>
            </w:r>
          </w:p>
        </w:tc>
      </w:tr>
      <w:tr>
        <w:trPr/>
        <w:tc>
          <w:tcPr>
            <w:tcW w:w="2161" w:type="dxa"/>
            <w:tcBorders/>
            <w:shd w:fill="CCEEFF"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 10 years</w:t>
            </w:r>
          </w:p>
        </w:tc>
      </w:tr>
      <w:tr>
        <w:trPr/>
        <w:tc>
          <w:tcPr>
            <w:tcW w:w="2161" w:type="dxa"/>
            <w:tcBorders/>
            <w:shd w:fill="auto"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equipment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3 - 7 years</w:t>
            </w:r>
          </w:p>
        </w:tc>
      </w:tr>
      <w:tr>
        <w:trPr/>
        <w:tc>
          <w:tcPr>
            <w:tcW w:w="2161" w:type="dxa"/>
            <w:tcBorders/>
            <w:shd w:fill="CCEEFF"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Land acquired by the Group has an unlimited useful life and therefore is not depreciated.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depreciation method, useful life and residual value of an asset are reviewed at least at each financial year-end and adjusted, if appropriate.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When assets are retired or otherwise disposed of, their cost and the related accumulated depreciation are derecognized from the consolidated statements of financial position and the resulting gains or losses on the disposal or sale of the assets are recognized in the consolidated statements of operations and comprehensive income / (loss).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An asset under construction is stated at cost until the construction is completed, at which time it is reclassified to the property, plant and equipment account to which it relates. During the construction period until the asset is ready for its intended use or sale, borrowing costs, which include interest expense and foreign currency exchange differences arising from foreign currency borrowings to the extent that they are regarded as an adjustment to interest expense, are capitalized in proportion to the average amount of accumulated expenditures during the period. Capitalization of borrowing costs ceases when the construction is completed, and the asset is ready for its intended use or sale.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l.</w:t>
      </w:r>
      <w:r>
        <w:rPr>
          <w:rFonts w:ascii="Times New Roman;Times;serif" w:hAnsi="Times New Roman;Times;serif"/>
          <w:b/>
          <w:sz w:val="20"/>
        </w:rPr>
        <w:t>Investment properties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Investment properties are properties owned or leased to earn rental income or for capital appreciation. Investment properties include right-of-use assets relating to properties that meet the definition of investment properties.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Investment properties other than the ones acquired through leases are measured, under the cost model, initially at cost, including transaction costs and subsequently at cost less accumulated depreciation and impairment loss.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Investment properties acquired through leases are initially measured at cost, which comprises the initial measurement of lease liabilities adjusted for lease payments made on or before the commencement date, plus initial direct costs incurred and an estimate of costs needed to restore the underlying assets, less any lease incentives received. These investment properties are subsequently measured at cost less accumulated depreciation and accumulated impairment loss and adjusted for any remeasurement of the lease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Depreciation begins when the investment property is available for use and is calculated using a straight-line method to allocate the depreciable amounts over the estimated useful lives as follows:</w:t>
      </w:r>
    </w:p>
    <w:p>
      <w:pPr>
        <w:pStyle w:val="TextBody"/>
        <w:spacing w:before="0" w:after="0"/>
        <w:ind w:left="0" w:right="0" w:hanging="0"/>
        <w:rPr/>
      </w:pPr>
      <w:r>
        <w:rPr/>
        <w:t>​</w:t>
      </w:r>
    </w:p>
    <w:tbl>
      <w:tblPr>
        <w:tblW w:w="5023" w:type="dxa"/>
        <w:jc w:val="left"/>
        <w:tblInd w:w="0" w:type="dxa"/>
        <w:tblCellMar>
          <w:top w:w="0" w:type="dxa"/>
          <w:left w:w="0" w:type="dxa"/>
          <w:bottom w:w="0" w:type="dxa"/>
          <w:right w:w="0" w:type="dxa"/>
        </w:tblCellMar>
      </w:tblPr>
      <w:tblGrid>
        <w:gridCol w:w="3616"/>
        <w:gridCol w:w="326"/>
        <w:gridCol w:w="1081"/>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96160" cy="175260"/>
                      <wp:effectExtent l="0" t="0" r="0" b="0"/>
                      <wp:wrapNone/>
                      <wp:docPr id="158" name="Frame157"/>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86435" cy="175260"/>
                      <wp:effectExtent l="0" t="0" r="0" b="0"/>
                      <wp:wrapNone/>
                      <wp:docPr id="160" name="Frame159"/>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16" w:type="dxa"/>
            <w:tcBorders/>
            <w:shd w:fill="CCEEFF"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 years</w:t>
            </w:r>
          </w:p>
        </w:tc>
      </w:tr>
      <w:tr>
        <w:trPr/>
        <w:tc>
          <w:tcPr>
            <w:tcW w:w="3616" w:type="dxa"/>
            <w:tcBorders/>
            <w:shd w:fill="auto"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land</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 years</w:t>
            </w:r>
          </w:p>
        </w:tc>
      </w:tr>
      <w:tr>
        <w:trPr/>
        <w:tc>
          <w:tcPr>
            <w:tcW w:w="3616" w:type="dxa"/>
            <w:tcBorders/>
            <w:shd w:fill="CCEEFF"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fixtures as part of the buildings</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 – 8 years</w:t>
            </w:r>
          </w:p>
        </w:tc>
      </w:tr>
    </w:tbl>
    <w:p>
      <w:pPr>
        <w:pStyle w:val="TextBody"/>
        <w:spacing w:before="0" w:after="240"/>
        <w:ind w:left="720" w:right="0" w:hanging="0"/>
        <w:jc w:val="both"/>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residual values, useful lives and depreciation method of investment properties are reviewed at least at each financial year-end and adjusted, if appropriate.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An investment property is derecognized when either it has been disposed of or when the investment property is permanently withdrawn from use and no future economic benefit is expected from its disposal. Any gains or losses on the disposal or retirement of an investment property are recognized in the consolidated statement of operations and comprehensive income / (loss) in the year of disposal or retirement. A transfer to, or from, an investment property is made when, and only when, there is evidence of a change in use.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m.</w:t>
      </w:r>
      <w:r>
        <w:rPr>
          <w:rFonts w:ascii="Times New Roman;Times;serif" w:hAnsi="Times New Roman;Times;serif"/>
          <w:b/>
          <w:sz w:val="20"/>
        </w:rPr>
        <w:t>Mining machines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Mining machines refer to the electronic equipment designed for the sole purpose of completing complex mathematical functions to verify transactions on the blockchain. Mining machines are stated at cost less accumulated depreciation and impairment losses, if any. The Group estimated the useful lives of the mining machines to be one to two years. This estimate is primarily based on the historical measures of (i) the period when each mining machine is able to deliver expected performance and (ii) the frequency of technological advancement, which leads to a new generation of mining machines. The Group also estimates the residual value of the mining machines at the expected time of disposal, taking into consideration factors such as make and model. Depreciation is recorded on a straight-line basis over the estimated useful lives. The depreciation method, useful life and residual value of the mining machines are reviewed at least at each financial year-end and adjusted, if appropriate. </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routinely sells used mining machines to customers. The net carrying values of the associated mining machines were reclassified as inventories when the Group identified such mining machines for sale and were recognized as cost of revenue on the consolidated statements of operations and comprehensive income / (loss) upon the sale. See Note 2(q).</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When mining machines are retired, their costs and the related accumulated depreciation are derecognized from the consolidated statements of financial position and the resulting gains or losses on the disposal of the assets are recognized in the consolidated statements of operations and comprehensive income / (loss).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n.</w:t>
      </w:r>
      <w:r>
        <w:rPr>
          <w:rFonts w:ascii="Times New Roman;Times;serif" w:hAnsi="Times New Roman;Times;serif"/>
          <w:b/>
          <w:sz w:val="20"/>
        </w:rPr>
        <w:t>Leases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As a lessee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accounts for leases under IFRS 16 </w:t>
      </w:r>
      <w:r>
        <w:rPr>
          <w:rFonts w:ascii="Times New Roman;Times;serif" w:hAnsi="Times New Roman;Times;serif"/>
          <w:i/>
          <w:sz w:val="20"/>
        </w:rPr>
        <w:t>Leases</w:t>
      </w:r>
      <w:r>
        <w:rPr>
          <w:rFonts w:ascii="Times New Roman;Times;serif" w:hAnsi="Times New Roman;Times;serif"/>
          <w:sz w:val="20"/>
        </w:rPr>
        <w:t>. At the inception of a contract, the Group assesses whether the contract is, or contains, a lease. A contract is, or contains, a lease if the contract conveys the right to control the use of an identified asset for a period of time in exchange for consideration.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At inception or on a reassessment of a contract that contains a lease component, the Group allocates the consideration in the contract to each lease and non-lease component on the basis of their relative stand-alone prices.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At the lease commencement date, the Group recognizes a right-of-use asset and a lease liability, except for short-term leases that have a lease term of 12 months or less and leases of low-value assets which, for the Group, are primarily vehicles.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linked to the use of an underlying asset are excluded from the measurement of lease liabilities.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right-of-use asset recognized when a lease is capitalized is initially measured at cost, which comprises the initial amount of the lease liability plus any lease payments made at or before the commencement date, and any initial direct costs incurred. The right-of-use asset is subsequently stated at cost less accumulated depreciation and impairment losses, if any. Right-of-use assets are subsequently depreciated using the straight-line method from the commencement date to the earlier of the end of the useful life of the right-of-use asset or the end of the unexpired term of the lease. The estimated useful lives of right-of-use assets are determined on the same basis as those of property, plant and equipment.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Provisions for the costs to restore leased assets to their original condition, as required by the terms and conditions of the lease, are recognized when the obligation is incurred, either at the commencement date or as a consequence of having used the underlying asset during a particular period of the lease, at the Group’s best estimate of the expenditure that would be required to restore the assets. Estimates are regularly reviewed and adjusted as appropriate for new circumstances.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Whenever the Group incurs an obligation for costs to restore a leased asset to the condition required by the terms and conditions of the lease, a provision is recognized and measured under IAS 37. To the extent that the costs relate to a right-of-use asset, the costs are included in the related right-of-use asset.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 of-use asset has been reduced to zero.</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As a lessor</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At the commencement date of the lease, leases in which the Group does not transfer substantially all the risks and rewards incidental to ownership of an asset are classified as operating leases. Rental income arising is accounted for on a straight-line basis over the lease terms and is included in revenue in the consolidated statement of operations and comprehensive income / (loss).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o.</w:t>
      </w:r>
      <w:r>
        <w:rPr>
          <w:rFonts w:ascii="Times New Roman;Times;serif" w:hAnsi="Times New Roman;Times;serif"/>
          <w:b/>
          <w:sz w:val="20"/>
        </w:rPr>
        <w:t>Trade payables and other payables and accruals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Trade payables are obligations to pay for goods and/or services that have been acquired from suppliers in the ordinary course of business. Other payables and accruals primarily represent obligations to pay staff costs, surtaxes and value-added tax, and other operating service providers.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Trade payables and other payables and accruals are recognized initially at fair value and subsequently measured at amortized cost using the effective interest method.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p.</w:t>
      </w:r>
      <w:r>
        <w:rPr>
          <w:rFonts w:ascii="Times New Roman;Times;serif" w:hAnsi="Times New Roman;Times;serif"/>
          <w:b/>
          <w:sz w:val="20"/>
        </w:rPr>
        <w:t>Share-based payments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Employees (including senior executives and members of the board of directors) and certain service providers of the Company receive remuneration in the form of share-based payment transactions, whereby they render services as consideration for equity instruments (“equity-settled transactions”).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cost of equity-settled transactions is measured by reference to the fair value at the date on which they are granted.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cost of equity-settled transactions is recognized, together with a corresponding increase in equity, over the period in which the performance and/or service conditions are fulfilled, ending on the date on which the beneficiary becomes fully entitled to the equity-settled transactions (the “vesting date”). The cumulative expense recognized for equity-settled transactions at each reporting date until the vesting date reflects the extent to which the vesting period has expired and the Company’s best estimate of the number of equity-settled transactions that will ultimately vest which includes assumptions on the number of equity-settled transactions to be forfeited due to the grantees’ failing to fulfill the service condition, and forfeitures following the non-completion of performance conditions.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q.</w:t>
      </w:r>
      <w:r>
        <w:rPr>
          <w:rFonts w:ascii="Times New Roman;Times;serif" w:hAnsi="Times New Roman;Times;serif"/>
          <w:b/>
          <w:sz w:val="20"/>
        </w:rPr>
        <w:t>Revenue recognition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revenues are derived principally from the cloud hash rate arrangements, the proprietary mining arrangements, the cloud hosting arrangements, the sales of mining machines, the general hosting arrangements and the membership hosting arrangements.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Revenue is recognized when control over goods or services is transferred to the customer, at the amount of promised consideration to which the Group is expected to be entitled. Revenue excludes value-added tax (“VAT”) or other sales taxes and is after deduction of trade discount, if any.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Revenue is recognized applying the following five steps:</w:t>
      </w:r>
    </w:p>
    <w:tbl>
      <w:tblPr>
        <w:tblW w:w="3531" w:type="dxa"/>
        <w:jc w:val="left"/>
        <w:tblInd w:w="0" w:type="dxa"/>
        <w:tblCellMar>
          <w:top w:w="28" w:type="dxa"/>
          <w:left w:w="28" w:type="dxa"/>
          <w:bottom w:w="28" w:type="dxa"/>
          <w:right w:w="28" w:type="dxa"/>
        </w:tblCellMar>
      </w:tblPr>
      <w:tblGrid>
        <w:gridCol w:w="124"/>
        <w:gridCol w:w="226"/>
        <w:gridCol w:w="318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31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806" w:type="dxa"/>
        <w:jc w:val="left"/>
        <w:tblInd w:w="0" w:type="dxa"/>
        <w:tblCellMar>
          <w:top w:w="28" w:type="dxa"/>
          <w:left w:w="28" w:type="dxa"/>
          <w:bottom w:w="28" w:type="dxa"/>
          <w:right w:w="28" w:type="dxa"/>
        </w:tblCellMar>
      </w:tblPr>
      <w:tblGrid>
        <w:gridCol w:w="124"/>
        <w:gridCol w:w="28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4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3216" w:type="dxa"/>
        <w:jc w:val="left"/>
        <w:tblInd w:w="0" w:type="dxa"/>
        <w:tblCellMar>
          <w:top w:w="28" w:type="dxa"/>
          <w:left w:w="28" w:type="dxa"/>
          <w:bottom w:w="28" w:type="dxa"/>
          <w:right w:w="28" w:type="dxa"/>
        </w:tblCellMar>
      </w:tblPr>
      <w:tblGrid>
        <w:gridCol w:w="124"/>
        <w:gridCol w:w="346"/>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2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bl>
    <w:tbl>
      <w:tblPr>
        <w:tblW w:w="7146" w:type="dxa"/>
        <w:jc w:val="left"/>
        <w:tblInd w:w="0" w:type="dxa"/>
        <w:tblCellMar>
          <w:top w:w="28" w:type="dxa"/>
          <w:left w:w="28" w:type="dxa"/>
          <w:bottom w:w="28" w:type="dxa"/>
          <w:right w:w="28" w:type="dxa"/>
        </w:tblCellMar>
      </w:tblPr>
      <w:tblGrid>
        <w:gridCol w:w="124"/>
        <w:gridCol w:w="331"/>
        <w:gridCol w:w="669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iv)</w:t>
            </w:r>
          </w:p>
        </w:tc>
        <w:tc>
          <w:tcPr>
            <w:tcW w:w="6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bl>
    <w:tbl>
      <w:tblPr>
        <w:tblW w:w="6801" w:type="dxa"/>
        <w:jc w:val="left"/>
        <w:tblInd w:w="0" w:type="dxa"/>
        <w:tblCellMar>
          <w:top w:w="28" w:type="dxa"/>
          <w:left w:w="28" w:type="dxa"/>
          <w:bottom w:w="28" w:type="dxa"/>
          <w:right w:w="28" w:type="dxa"/>
        </w:tblCellMar>
      </w:tblPr>
      <w:tblGrid>
        <w:gridCol w:w="124"/>
        <w:gridCol w:w="271"/>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Group satisfies a performance obligation.</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 arrangements priced at fiat currency, the Group recognizes revenue based on the contract price. For arrangement priced at cryptocurrency, the Group recognizes revenue based on the spot price of the cryptocurrency to fiat currency on the date when it is earned.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When another party is involved in providing services to a customer, the Group is the principal if it controls the specified services before those services are transferred to the customer.</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primary sources of Group’s revenues are recognized as follows: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Cloud Hash Rate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enters into Cloud Hash Rate arrangements with its customers by offering hash rate subscription plans to provide computing power in a specified quantity, measured by computing power per second, or hash rate, derived from the mining machines held by the Group, for a specified period of time. The customer also needs to pay for electricity subscriptions, which are billed separately, to maintain the mining machines that produce the subscribed hash rate over the contract period. The Group connects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cryptocurrency wallets.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offers a number of different hash rate subscription plans by plan duration and type of cryptocurrency to be mined. The Group offers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cryptocurrency and fiat currency are accepted as payments under the Cloud Hash Rate 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the Group is entitled to additional consideration once the customer’s cost is recovered.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offers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transaction price of the performance obligation includes the subscription prices for the hash rate subscription plans and the electricity subscription plans. As the price for the electricity subscription plans may change each electricity subscription period, the Group allocates the variable consideration to each electricity subscription period.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 plans under the accelerator mode, besides the aforementioned subscription prices, the transaction price also includes the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The Group includes such additional consideration in the transaction price and recognizes the revenue when the Group can reasonably calculate the amount and determine it is probable a significant reversal will not occur.</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Proprietary Mining</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enters into contracts with mining pool operators to provide computing power generated from the Group’s own mining machines to the mining pools. The contracts with mining pool operators are terminable at any time by either party. In exchange for providing computing power to the mining pool, the Group is entitled to cryptocurrency rewards from the mining pool operators, which is a variable consideration calculated based on a predetermined formula agreed by the Group and the mining pool operator as a part of the arrangement. The variable consideration is constrained until the Group can reasonably estimate the amount of mining rewards by the end of a given day based on the actual amount of computing power provided to the mining pool operators. By then, the Group considers it is highly probable that a significant reversal in the amount of revenues will not occur and includes such variable consideration in the transaction price. Providing computing power is an output of the Group’s ordinary activities and the only performance obligation in the Group’s contracts with mining pool operators. The Group recognizes the revenue when the variable consideration is no longer constrained and the performance obligation of providing computing power has been satisfied. Although the cryptocurrency rewards the mining pool operators receive from the blockchain networks include both the block rewards and the transaction verification fees, the transaction price the Group receives is an aggregate amount and primarily includes the block rewards. As a result, the Group does not present disaggregated revenue information on block rewards and transaction verification fees.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Cloud Hosting</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provides its customers, through subscription of Cloud Hosting orders, one-stop mining machines hosting solution which integrates the provision of computing power generated from specified second-hand mining machines and the provision of maintenance service, primarily including electricity supply and daily maintenance and repair care. The Group charges the customer an upfront fixed amount at the commencement of the Cloud Hosting arrangement for the customer to secure the procurement of the computing power from the specified mining machines, as well as the variable fees for the provision of maintenance service based on the consumption of resources such as electricity throughout the duration of the service. The Group historically only accepts cryptocurrency as payments for services under the Cloud Hosting arrangement. </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the Group is entitled to additional consideration once a customer’s cost is recovered.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Two promises are offered under the Cloud Hosting arrangements. One is to provide the computing power generated from the specified mining machines and the other is to perform maintenance services over the life of the mining machines. The two promises are not separately identifiable because the customer expects to receive a steady operation of the mining machines specified in the Cloud Hosting order, which is a combined output of the provision of computing power from the specified mining machines and the provision of maintenance service of the specified mining machines.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transaction price of the performance obligation includes an upfront fee paid upon placement of the Cloud Hosting order and periodical maintenance fees. The periodical maintenance fee is variable in each maintenance period based on the electricity consumption. The Group allocates the variable consideration to each distinct maintenance service period.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revenue is recognized over time where the fixed upfront fee is recognized evenly over the contract term and the periodical maintenance fee is recognized over each respective service period. The contract term approximates to the life of the specified mining machines and is estimated to be two years. The estimated life of these mining machines is reviewed at least at each financial year-end and adjusted if the expectation of the realization of economic benefits from the specified mining machines is different from the previous estimate.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machines and constrained until the mining pool operator finishes the calculation of the mining reward related to the mining activity in a given day. The Group includes such additional consideration in the transaction price and recognizes revenues when the Group can reasonably calculate the amount and determine it is probable a significant reversal will not occur. For all the periods presented, no revenue was generated from the additional consideration from Cloud Hosting arrangements offered under the accelerator mode.</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Sale of Mining Machines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recognizes revenue from sales of mining machines to customers at the point in time when control of the mining machines is transferred to the customer, which generally occurs upon shipment of the mining machines as defined in the revenue contract. Sale of mining machine is the sole performance obligation in this type of arrangement. The Group accepts both cryptocurrency and fiat currency as payments for sales of mining machines.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General Hosting</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provides general hosting services, which is a combined service package including custody and hosting of the customers’ mining machines, electricity and network maintenance and other services, that enable customers to run blockchain computing operations. The customer is only able to benefit from the hosting service as a package and the Group has a single performance obligation. The hosting service fee is charged to the customer monthly as a single fee based on the customer’s consumption of resources, such as the amount of electricity used in a period. Revenue from the general hosting service is recognized across each service cycle. The Group accepts both cryptocurrency and fiat currency as payments for the hosting services.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Membership Hosting</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offers its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 </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the membership program agreement, a customer subscribing the program is entitled to the program benefit of receiving mining machine management services, as described below, within a predetermined capacity measured by energy consumption (i.e., Kilowatts, or KW) (the “designated capacity”). The Group provides such designated capacity in a leased mining datacenter and the program subscription period starts from the time when the designated capacity is made available to the customer and ends when the Group no longer operates the mining datacenter. In addition, the Group also agrees to provide other program benefits, if available, to the customer, including, among other things, (i) early, priority and exclusive access to the newly available mining datacenter capacity that is sufficient for large-scale miners, upon a new mining datacenter becomes available and (ii) more favorable pricing terms for the Group’s services, such as mining machine management services, than the prevailing price in the local market. The Group charges an upfront fee for the program benefits subscribed.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the management services agreement, the Group provides management services for the customer’s mining machines up to the capacity subscribed in the membership program agreement. In exchange for the management services fee, the Group promises to deliver a package of services to provide an infrastructure for the mining machines, such as a premise for the custody of mining machines, and network and utility to support the operation of the mining machines. Unlike the general hosting service where the Group includes in its service package to host or operate the customer’s mining machines under the customer’s instructions so that the mining machines keep running and remain connected to the customer designated mining pools (the “mining machine operation service”), under the management services agreement, a customer has the discretion to subscribe to the mining machine operation service or choose to operate the mining machines using the customer’s own resource. The Group charges additional fee, at its stand-alone selling price, for the subscription of the Group’s mining machine operation service. The management services fee and the mining machine operation fee, as applicable, are charged to the customer monthly based on the customer’s consumption of resources, such as the amount of electricity used in a period.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The Group’s promise associated with the membership program agreement is to stand ready to provide services, and the Group’s promise associated with the management services agreement is to provide an infrastructure for the mining machines through the set of services provided under the management services agreement. The two promises are not separately identifiable because the customer expects to receive mining machines management services for the mining machines up to the designated capacity, which is a combined output of the program benefit and management services provided by the Group as a package. The two promises provide a series of distinct services that have the same pattern of transfer to the customer over a period of time. As a result, the promises are treated as a single performance obligation satisfied over time. Revenue associated with the upfront fee for the program benefits is recognized over the program subscription period and revenue associated with the management services is recognized over each distinct service period. The promise to provide the mining machine operation service, if subscribed to by a customer, is accounted for as a separate performance obligation and the associated revenue is recognized over each distinct service period at their respective stand-alone selling price. The Group accepts both cryptocurrency and fiat currency as payments for the membership hosting arrangements. The contract term approximates the lease term of the mining datacenter and is estimated to be 13 years. The estimated lease term is adjusted when there is an indication that the Group is reasonably certain to renew or terminate the lease.</w:t>
      </w:r>
    </w:p>
    <w:p>
      <w:pPr>
        <w:pStyle w:val="TextBody"/>
        <w:spacing w:before="0" w:after="24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bookmarkStart w:id="813" w:name="Tc_ogLcciB4DkaJya-oZefWWg_14_0"/>
      <w:bookmarkStart w:id="814" w:name="Tc_bZtY8vwa40qXJV0Tjxr0Ug_13_0"/>
      <w:bookmarkStart w:id="815" w:name="Tc_Mr5d1-DQY0G_XdcRQZhYHw_12_4"/>
      <w:bookmarkStart w:id="816" w:name="Tc_diRIw6fuFkus9RBjIFTx9w_12_2"/>
      <w:bookmarkStart w:id="817" w:name="Tc_bYoXvwkvHUSEkGDlkoacdA_12_0"/>
      <w:bookmarkStart w:id="818" w:name="Tc_JQPbsK8ILkyCkGdiVU4k7g_11_2"/>
      <w:bookmarkStart w:id="819" w:name="Tc_MAyP1bMnX0KWQr_42pwYzQ_11_0"/>
      <w:bookmarkStart w:id="820" w:name="Tc_QUkZnTUJXkKOYbQMVcETbg_10_0"/>
      <w:bookmarkStart w:id="821" w:name="Tc_DQPWh0RcvU-X73XuurMUug_9_0"/>
      <w:bookmarkStart w:id="822" w:name="Tc_ABpUUl2pWkagWheFECqFUg_8_0"/>
      <w:bookmarkStart w:id="823" w:name="Tc_YE4aA4Kbc0-9PN9B0noz_A_7_0"/>
      <w:bookmarkStart w:id="824" w:name="Tc_dgtcno_MPEy0xqm-5zYC-w_6_0"/>
      <w:bookmarkStart w:id="825" w:name="Tc_Qz4fFK-uiky7rhY8viUqSw_5_0"/>
      <w:bookmarkStart w:id="826" w:name="Tc_aIaaHCOoTE-_W1fOHxmEdQ_4_0"/>
      <w:bookmarkStart w:id="827" w:name="Tc_XPlLCzDVWECnqRfitYh8cQ_3_2"/>
      <w:bookmarkStart w:id="828" w:name="Tc_xnY4trtR7EmGMZVAr2Gpyg_3_0"/>
      <w:bookmarkStart w:id="829" w:name="Tc_Z2utfxc39USeJyHA4vO4XQ_2_6"/>
      <w:bookmarkStart w:id="830" w:name="Tc_Oe7lEgnkSU6P20hjCvUwuw_2_4"/>
      <w:bookmarkStart w:id="831" w:name="Tc_m2LIpvnV30-EpIWu7k_3Eg_2_2"/>
      <w:bookmarkStart w:id="832" w:name="Tc_6ii_5T14oUSKFkJUBUYqCg_1_2"/>
      <w:bookmarkStart w:id="833" w:name="_8c4ed411_7259_4abc_bf6e_61e4bffd8530"/>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sz w:val="20"/>
        </w:rPr>
        <w:t>Details of revenues for each category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708"/>
        <w:gridCol w:w="326"/>
        <w:gridCol w:w="851"/>
        <w:gridCol w:w="326"/>
        <w:gridCol w:w="781"/>
        <w:gridCol w:w="326"/>
        <w:gridCol w:w="887"/>
      </w:tblGrid>
      <w:tr>
        <w:trPr/>
        <w:tc>
          <w:tcPr>
            <w:tcW w:w="67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59580" cy="175260"/>
                      <wp:effectExtent l="0" t="0" r="0" b="0"/>
                      <wp:wrapNone/>
                      <wp:docPr id="161" name="Frame160"/>
                      <a:graphic xmlns:a="http://schemas.openxmlformats.org/drawingml/2006/main">
                        <a:graphicData uri="http://schemas.microsoft.com/office/word/2010/wordprocessingShape">
                          <wps:wsp>
                            <wps:cNvSpPr txBox="1"/>
                            <wps:spPr>
                              <a:xfrm>
                                <a:off x="0" y="0"/>
                                <a:ext cx="42595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40385" cy="175260"/>
                      <wp:effectExtent l="0" t="0" r="0" b="0"/>
                      <wp:wrapNone/>
                      <wp:docPr id="163" name="Frame162"/>
                      <a:graphic xmlns:a="http://schemas.openxmlformats.org/drawingml/2006/main">
                        <a:graphicData uri="http://schemas.microsoft.com/office/word/2010/wordprocessingShape">
                          <wps:wsp>
                            <wps:cNvSpPr txBox="1"/>
                            <wps:spPr>
                              <a:xfrm>
                                <a:off x="0" y="0"/>
                                <a:ext cx="540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95935" cy="175260"/>
                      <wp:effectExtent l="0" t="0" r="0" b="0"/>
                      <wp:wrapNone/>
                      <wp:docPr id="165" name="Frame16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3245" cy="175260"/>
                      <wp:effectExtent l="0" t="0" r="0" b="0"/>
                      <wp:wrapNone/>
                      <wp:docPr id="167" name="Frame166"/>
                      <a:graphic xmlns:a="http://schemas.openxmlformats.org/drawingml/2006/main">
                        <a:graphicData uri="http://schemas.microsoft.com/office/word/2010/wordprocessingShape">
                          <wps:wsp>
                            <wps:cNvSpPr txBox="1"/>
                            <wps:spPr>
                              <a:xfrm>
                                <a:off x="0" y="0"/>
                                <a:ext cx="563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70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17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7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08"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8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(Restated)</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tcBorders/>
            <w:shd w:fill="auto" w:val="clear"/>
            <w:vAlign w:val="center"/>
          </w:tcPr>
          <w:p>
            <w:pPr>
              <w:pStyle w:val="TableContents"/>
              <w:spacing w:before="0" w:after="1"/>
              <w:ind w:left="0" w:right="0" w:hanging="0"/>
              <w:jc w:val="center"/>
              <w:rPr/>
            </w:pPr>
            <w:r>
              <w:rPr/>
              <w:t>​</w:t>
            </w:r>
          </w:p>
        </w:tc>
      </w:tr>
      <w:tr>
        <w:trPr/>
        <w:tc>
          <w:tcPr>
            <w:tcW w:w="67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Proprietary mining</w:t>
            </w:r>
          </w:p>
        </w:tc>
        <w:tc>
          <w:tcPr>
            <w:tcW w:w="326" w:type="dxa"/>
            <w:tcBorders/>
            <w:shd w:fill="CCEEFF" w:val="clear"/>
            <w:vAlign w:val="center"/>
          </w:tcPr>
          <w:p>
            <w:pPr>
              <w:pStyle w:val="TableContents"/>
              <w:spacing w:before="0" w:after="1"/>
              <w:ind w:left="0" w:right="0" w:hanging="0"/>
              <w:rPr/>
            </w:pPr>
            <w:r>
              <w:rPr/>
              <w:t> </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88,493</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191,693</w:t>
            </w:r>
          </w:p>
        </w:tc>
        <w:tc>
          <w:tcPr>
            <w:tcW w:w="326"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62,359</w:t>
            </w:r>
          </w:p>
        </w:tc>
      </w:tr>
      <w:tr>
        <w:trPr/>
        <w:tc>
          <w:tcPr>
            <w:tcW w:w="67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Cloud hash rate</w:t>
            </w:r>
          </w:p>
        </w:tc>
        <w:tc>
          <w:tcPr>
            <w:tcW w:w="326" w:type="dxa"/>
            <w:tcBorders/>
            <w:shd w:fill="auto" w:val="clear"/>
            <w:vAlign w:val="center"/>
          </w:tcPr>
          <w:p>
            <w:pPr>
              <w:pStyle w:val="TableContents"/>
              <w:spacing w:before="0" w:after="1"/>
              <w:ind w:left="0" w:right="0" w:hanging="0"/>
              <w:rPr/>
            </w:pPr>
            <w:r>
              <w:rPr/>
              <w:t> </w:t>
            </w:r>
          </w:p>
        </w:tc>
        <w:tc>
          <w:tcPr>
            <w:tcW w:w="8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pPr>
            <w:r>
              <w:rPr/>
              <w:t>​</w:t>
            </w:r>
          </w:p>
        </w:tc>
      </w:tr>
      <w:tr>
        <w:trPr/>
        <w:tc>
          <w:tcPr>
            <w:tcW w:w="67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Hash rate subscription</w:t>
            </w:r>
          </w:p>
        </w:tc>
        <w:tc>
          <w:tcPr>
            <w:tcW w:w="326" w:type="dxa"/>
            <w:tcBorders/>
            <w:shd w:fill="CCEEFF" w:val="clear"/>
            <w:vAlign w:val="center"/>
          </w:tcPr>
          <w:p>
            <w:pPr>
              <w:pStyle w:val="TableContents"/>
              <w:spacing w:before="0" w:after="1"/>
              <w:ind w:left="0" w:right="0" w:hanging="0"/>
              <w:rPr/>
            </w:pPr>
            <w:r>
              <w:rPr/>
              <w:t> </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31,389</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53,952</w:t>
            </w:r>
          </w:p>
        </w:tc>
        <w:tc>
          <w:tcPr>
            <w:tcW w:w="326"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77,862</w:t>
            </w:r>
          </w:p>
        </w:tc>
      </w:tr>
      <w:tr>
        <w:trPr/>
        <w:tc>
          <w:tcPr>
            <w:tcW w:w="67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Electricity subscription</w:t>
            </w:r>
          </w:p>
        </w:tc>
        <w:tc>
          <w:tcPr>
            <w:tcW w:w="326" w:type="dxa"/>
            <w:tcBorders/>
            <w:shd w:fill="auto" w:val="clear"/>
            <w:vAlign w:val="center"/>
          </w:tcPr>
          <w:p>
            <w:pPr>
              <w:pStyle w:val="TableContents"/>
              <w:spacing w:before="0" w:after="1"/>
              <w:ind w:left="0" w:right="0" w:hanging="0"/>
              <w:rPr/>
            </w:pPr>
            <w:r>
              <w:rPr/>
              <w:t> </w:t>
            </w:r>
          </w:p>
        </w:tc>
        <w:tc>
          <w:tcPr>
            <w:tcW w:w="8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45,242</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35,113</w:t>
            </w:r>
          </w:p>
        </w:tc>
        <w:tc>
          <w:tcPr>
            <w:tcW w:w="326" w:type="dxa"/>
            <w:tcBorders/>
            <w:shd w:fill="auto" w:val="clear"/>
            <w:vAlign w:val="center"/>
          </w:tcPr>
          <w:p>
            <w:pPr>
              <w:pStyle w:val="TableContents"/>
              <w:spacing w:before="0" w:after="1"/>
              <w:ind w:left="0" w:right="0" w:hanging="0"/>
              <w:rPr/>
            </w:pPr>
            <w:r>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39,525</w:t>
            </w:r>
          </w:p>
        </w:tc>
      </w:tr>
      <w:tr>
        <w:trPr/>
        <w:tc>
          <w:tcPr>
            <w:tcW w:w="67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Additional consideration from Cloud Hash Rate arrangements under acceleration mode</w:t>
            </w:r>
          </w:p>
        </w:tc>
        <w:tc>
          <w:tcPr>
            <w:tcW w:w="326" w:type="dxa"/>
            <w:tcBorders/>
            <w:shd w:fill="CCEEFF" w:val="clear"/>
            <w:vAlign w:val="center"/>
          </w:tcPr>
          <w:p>
            <w:pPr>
              <w:pStyle w:val="TableContents"/>
              <w:spacing w:before="0" w:after="1"/>
              <w:ind w:left="0" w:right="0" w:hanging="0"/>
              <w:rPr/>
            </w:pPr>
            <w:r>
              <w:rPr/>
              <w:t> </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1,657</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35,140</w:t>
            </w:r>
          </w:p>
        </w:tc>
        <w:tc>
          <w:tcPr>
            <w:tcW w:w="326"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3,954</w:t>
            </w:r>
          </w:p>
        </w:tc>
      </w:tr>
      <w:tr>
        <w:trPr/>
        <w:tc>
          <w:tcPr>
            <w:tcW w:w="67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Sales of mining machines </w:t>
            </w:r>
          </w:p>
        </w:tc>
        <w:tc>
          <w:tcPr>
            <w:tcW w:w="326" w:type="dxa"/>
            <w:tcBorders/>
            <w:shd w:fill="auto" w:val="clear"/>
            <w:vAlign w:val="center"/>
          </w:tcPr>
          <w:p>
            <w:pPr>
              <w:pStyle w:val="TableContents"/>
              <w:spacing w:before="0" w:after="1"/>
              <w:ind w:left="0" w:right="0" w:hanging="0"/>
              <w:rPr/>
            </w:pPr>
            <w:r>
              <w:rPr/>
              <w:t>​</w:t>
            </w:r>
          </w:p>
        </w:tc>
        <w:tc>
          <w:tcPr>
            <w:tcW w:w="8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15,844</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45,693</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r>
      <w:tr>
        <w:trPr/>
        <w:tc>
          <w:tcPr>
            <w:tcW w:w="6708"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Cloud hosting arrangements</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2,929</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7,568</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12,723</w:t>
            </w:r>
          </w:p>
        </w:tc>
      </w:tr>
      <w:tr>
        <w:trPr/>
        <w:tc>
          <w:tcPr>
            <w:tcW w:w="670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General hosting</w:t>
            </w:r>
          </w:p>
        </w:tc>
        <w:tc>
          <w:tcPr>
            <w:tcW w:w="326" w:type="dxa"/>
            <w:tcBorders/>
            <w:shd w:fill="auto" w:val="clear"/>
            <w:vAlign w:val="center"/>
          </w:tcPr>
          <w:p>
            <w:pPr>
              <w:pStyle w:val="TableContents"/>
              <w:spacing w:before="0" w:after="1"/>
              <w:ind w:left="0" w:right="0" w:hanging="0"/>
              <w:rPr/>
            </w:pPr>
            <w:r>
              <w:rPr/>
              <w:t>​</w:t>
            </w:r>
          </w:p>
        </w:tc>
        <w:tc>
          <w:tcPr>
            <w:tcW w:w="8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18,312</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99,251</w:t>
            </w:r>
          </w:p>
        </w:tc>
      </w:tr>
      <w:tr>
        <w:trPr/>
        <w:tc>
          <w:tcPr>
            <w:tcW w:w="670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Membership hosting</w:t>
            </w:r>
          </w:p>
        </w:tc>
        <w:tc>
          <w:tcPr>
            <w:tcW w:w="326" w:type="dxa"/>
            <w:tcBorders/>
            <w:shd w:fill="CCEEFF" w:val="clear"/>
            <w:vAlign w:val="center"/>
          </w:tcPr>
          <w:p>
            <w:pPr>
              <w:pStyle w:val="TableContents"/>
              <w:spacing w:before="0" w:after="1"/>
              <w:ind w:left="0" w:right="0" w:hanging="0"/>
              <w:rPr/>
            </w:pPr>
            <w:r>
              <w:rPr/>
              <w:t>​</w:t>
            </w:r>
          </w:p>
        </w:tc>
        <w:tc>
          <w:tcPr>
            <w:tcW w:w="8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26,056</w:t>
            </w:r>
          </w:p>
        </w:tc>
      </w:tr>
      <w:tr>
        <w:trPr/>
        <w:tc>
          <w:tcPr>
            <w:tcW w:w="6708"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 </w:t>
            </w:r>
          </w:p>
        </w:tc>
        <w:tc>
          <w:tcPr>
            <w:tcW w:w="8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7,190</w:t>
            </w:r>
          </w:p>
        </w:tc>
        <w:tc>
          <w:tcPr>
            <w:tcW w:w="326" w:type="dxa"/>
            <w:tcBorders/>
            <w:shd w:fill="auto" w:val="clear"/>
            <w:vAlign w:val="center"/>
          </w:tcPr>
          <w:p>
            <w:pPr>
              <w:pStyle w:val="TableContents"/>
              <w:spacing w:before="0" w:after="1"/>
              <w:ind w:left="0" w:right="0" w:hanging="0"/>
              <w:rPr/>
            </w:pPr>
            <w:r>
              <w:rPr/>
              <w:t> </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10,907</w:t>
            </w:r>
          </w:p>
        </w:tc>
      </w:tr>
      <w:tr>
        <w:trPr/>
        <w:tc>
          <w:tcPr>
            <w:tcW w:w="6708"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 </w:t>
            </w:r>
          </w:p>
        </w:tc>
        <w:tc>
          <w:tcPr>
            <w:tcW w:w="8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186,387</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394,661</w:t>
            </w:r>
          </w:p>
        </w:tc>
        <w:tc>
          <w:tcPr>
            <w:tcW w:w="326" w:type="dxa"/>
            <w:tcBorders/>
            <w:shd w:fill="CCEEFF" w:val="clear"/>
            <w:vAlign w:val="center"/>
          </w:tcPr>
          <w:p>
            <w:pPr>
              <w:pStyle w:val="TableContents"/>
              <w:spacing w:before="0" w:after="1"/>
              <w:ind w:left="0" w:right="0" w:hanging="0"/>
              <w:rPr/>
            </w:pPr>
            <w:r>
              <w:rPr/>
              <w:t> </w:t>
            </w:r>
          </w:p>
        </w:tc>
        <w:tc>
          <w:tcPr>
            <w:tcW w:w="88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333,342</w:t>
            </w:r>
          </w:p>
        </w:tc>
      </w:tr>
    </w:tbl>
    <w:tbl>
      <w:tblPr>
        <w:tblW w:w="10205" w:type="dxa"/>
        <w:jc w:val="left"/>
        <w:tblInd w:w="0" w:type="dxa"/>
        <w:tblCellMar>
          <w:top w:w="28" w:type="dxa"/>
          <w:left w:w="28" w:type="dxa"/>
          <w:bottom w:w="28" w:type="dxa"/>
          <w:right w:w="28" w:type="dxa"/>
        </w:tblCellMar>
      </w:tblPr>
      <w:tblGrid>
        <w:gridCol w:w="124"/>
        <w:gridCol w:w="301"/>
        <w:gridCol w:w="9780"/>
      </w:tblGrid>
      <w:tr>
        <w:trPr/>
        <w:tc>
          <w:tcPr>
            <w:tcW w:w="12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(1)</w:t>
            </w:r>
          </w:p>
        </w:tc>
        <w:tc>
          <w:tcPr>
            <w:tcW w:w="978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Others include revenue generated primarily from providing technical and human resources service, repairment services of hosted mining machines, lease of investment properties, and the sale of mining machine peripherals.</w:t>
            </w:r>
          </w:p>
        </w:tc>
      </w:tr>
    </w:tbl>
    <w:tbl>
      <w:tblPr>
        <w:tblW w:w="10205" w:type="dxa"/>
        <w:jc w:val="left"/>
        <w:tblInd w:w="0" w:type="dxa"/>
        <w:tblCellMar>
          <w:top w:w="28" w:type="dxa"/>
          <w:left w:w="28" w:type="dxa"/>
          <w:bottom w:w="28" w:type="dxa"/>
          <w:right w:w="28" w:type="dxa"/>
        </w:tblCellMar>
      </w:tblPr>
      <w:tblGrid>
        <w:gridCol w:w="124"/>
        <w:gridCol w:w="305"/>
        <w:gridCol w:w="9776"/>
      </w:tblGrid>
      <w:tr>
        <w:trPr/>
        <w:tc>
          <w:tcPr>
            <w:tcW w:w="12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(2)</w:t>
            </w:r>
          </w:p>
        </w:tc>
        <w:tc>
          <w:tcPr>
            <w:tcW w:w="97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did not generate any revenue from the additional consideration from Cloud Hosting arrangements offered under accelerator mode for the years ended December 31, 2020, 2021 and 2022.</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the revenue generated from Bitmain under the brand of AntPool representing 24.44%, 0.72% and 0.24% of total revenue respectively;  the revenue generated from BTC representing 22.81%, 44.68% and 14.94% of total revenue respectively; and the revenue generated from one customer representing nil, 1.53%  and 20.07% of total revenue respectively. The Group did not have any other customer that accounts for 10% or more of total revenue in the years ended December 31, 2020, 2021 and 2022.</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Contract assets and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 contract asset is recognized when the Group recognizes revenue before being unconditionally entitled to the consideration under the payment terms set out in the contract. Contract assets are assessed for expected credit losses and are reclassified to receivables when the right to the consideration has become unconditional. As of December 31, 2021 and 2022, the Group did not have any contract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 contract liability is recognized when the customer pays consideration for goods or services before the Group recognizes the related revenue. A contract liability would also be recognized if the Group has an unconditional right to receive non-refundable consideration before the Group recognizes the related revenue. In such cases, a corresponding receivable would also be recognized. As of December 31, 2021 and 2022, the Group had contract liabilities, presented as deferred revenue on the consolidated statements of financial position, of approximately US$213.4 million and US$182.3 million. Approximately US$10.3 million, US$11.1 million and US$102.3 million, included in the deferred revenue balance at January 1, 2020, 2021 and 2022, respectively, was recognized as revenue during the years ended December 31, 2020, 2021 and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r.</w:t>
      </w:r>
      <w:r>
        <w:rPr>
          <w:rFonts w:ascii="Times New Roman;Times;serif" w:hAnsi="Times New Roman;Times;serif"/>
          <w:b/>
          <w:sz w:val="20"/>
        </w:rPr>
        <w:t>Cost of revenue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Cost of revenue consists primarily of electricity expenses incurred for operating the Group’s mining machines in its revenue-generating activities, depreciation expense from the mining machines and datacenters hosting those mining machines, costs of mining machines sold to customers, and compensation expenses incurred by mining datacenter personnel.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s.</w:t>
      </w:r>
      <w:r>
        <w:rPr>
          <w:rFonts w:ascii="Times New Roman;Times;serif" w:hAnsi="Times New Roman;Times;serif"/>
          <w:b/>
          <w:sz w:val="20"/>
        </w:rPr>
        <w:t>Taxes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Income tax</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Current and deferred income taxes are recognized as income or expense and included in the consolidated statements of operations and comprehensive income / (loss), except to the extent that the income tax relates to items recognized in comprehensive income / (loss) or directly in equity, in which case the relevant amounts of tax are recognized in comprehensive income / (loss) or directly in equity, respectively.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Current income tax assets and liabilities are measured at the amounts expected to be recovered or paid by using the tax rates and tax laws that have been enacted or substantively enacted at each reporting date. Management periodically evaluates positions taken in the tax reporting process with respect to situations in which applicable tax regulation is subject to interpretation. Where appropriate, management establishes provisions based on the amounts expected to be paid to the tax authorities.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Deferred tax</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Apart from the temporary differences arising from goodwill not deductible for tax purposes, all deferred tax liabilities, and all deferred tax assets to the extent that it is probable that future taxable profits will be available against which the asset can be utilized, are recognized. Deferred tax assets and liabilities are measured using enacted or substantively enacted tax rates and tax laws at each reporting date which are expected to apply to taxable income in the years in which those temporary differences are expected to be recovered or settled.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carrying amount of deferred tax assets is reviewed at each reporting date and reduced if it is no longer probable that sufficient taxable profit will be available to compensate part or all of the benefits of deferred tax assets. Unrecognized deferred tax assets are re-assessed at each reporting date and recognized if it is probable that future taxable profits will be available for recovery. Tax deductions arising from the reversal of deferred tax assets are excluded from estimates of future taxable income.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Deferred taxes on transactions which are recognized outside profit or loss are recognized outside profit or loss. Therefore, deferred taxes on these transactions are recognized either in comprehensive income / (loss) or recognized directly in equity.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Deferred tax assets and liabilities are offset in the consolidated statements of financial position, if and only if it has a legally enforceable right to set off current tax assets and liabilities and the deferred tax assets and liabilities relate to income taxes levied by the same Tax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assets or liabilities are expected to be recovered or settled.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Uncertainty over income tax treatments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determines the recognition and measurement of tax assets and liabilities that contain uncertainty over income tax by considering the assumptions used in the examination of tax treatments by the tax authorities, the probability that the tax authorities will accept uncertain tax treatment and re-consideration or estimation if there is a change in facts and circumstances.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If the acceptance of tax treatment is probable, the measurement is in line with income tax fillings. If the acceptance of tax treatment is not probable, the Group uses tax amounts using the method that provides a better prediction of resolution (i.e., most likely amount or expected value).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t.</w:t>
      </w:r>
      <w:r>
        <w:rPr>
          <w:rFonts w:ascii="Times New Roman;Times;serif" w:hAnsi="Times New Roman;Times;serif"/>
          <w:b/>
          <w:sz w:val="20"/>
        </w:rPr>
        <w:t>Financial instruments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Financial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classifies its financial assets in the following measurement categories: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to be measured subsequently at fair value (either through other comprehensive income, or through profit or loss), and</w:t>
            </w:r>
          </w:p>
        </w:tc>
      </w:tr>
    </w:tbl>
    <w:tbl>
      <w:tblPr>
        <w:tblW w:w="3696" w:type="dxa"/>
        <w:jc w:val="left"/>
        <w:tblInd w:w="0" w:type="dxa"/>
        <w:tblCellMar>
          <w:top w:w="28" w:type="dxa"/>
          <w:left w:w="28" w:type="dxa"/>
          <w:bottom w:w="28" w:type="dxa"/>
          <w:right w:w="28" w:type="dxa"/>
        </w:tblCellMar>
      </w:tblPr>
      <w:tblGrid>
        <w:gridCol w:w="124"/>
        <w:gridCol w:w="256"/>
        <w:gridCol w:w="3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to be measured at amortized cost.</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classification depends on the Group’s business model for managing the financial assets and the contractual cash flow characteristics.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Purchases and sales of financial assets are recognized on trade-date, the date on which the Group commits to purchase or sell the assets. Financial assets are derecognized when the rights to receive cash flows from the assets have expired or the Group has transferred substantially all the risks and rewards of ownership of the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Debt instruments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Initial recognition and subsequent measurement of debt instruments depend on the Group’s business model for managing the asset and the contractual cash flow characteristics of the asset, and the Group reclassifies debt investments only when its business model for managing those assets changes. There are three categories into which the Group classifies its debt instruments: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Amortized cost: Financial assets that are held for collection of contractual cash flows where those cash flows represent solely payments of principal and interest are classified as and measured at amortized cost. A gain or loss on a debt investment measured at amortized cost which is not part of a hedging relationship is recognized in profit or loss when the asset is derecognized or impaired. Interest income from these financial assets is recognized using the effective interest rate method.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through other comprehensive income: Financial assets that are held for collection of contractual cash flows and for selling the financial assets, where the assets’ cash flows represent solely payments of principal and interest, are classified as and measured at fair value through other comprehensive income. Movements in the carrying amount of these financial assets are taken through other comprehensive income, except for the recognition of impairment losses or reversals, interest income and foreign exchange gains and losses which are recognized in profit or loss. When the financial asset is derecognized, the cumulative gain or loss previously recognized in other comprehensive income is reclassified from equity to profit or loss. Interest income from these financial assets is recognized using the effective interest rate method.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through profit or loss: Financial assets that do not meet the criteria for amortized cost or fair value through other comprehensive income are classified as and measured at fair value through profit or loss. A gain or loss on a debt investment measured at fair value through profit or loss which is not part of a hedging relationship is recognized in profit or loss for the period in which it arises.</w:t>
            </w:r>
          </w:p>
        </w:tc>
      </w:tr>
    </w:tbl>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Equity instruments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subsequently measures all equity investments at fair value through profit or loss or other comprehensive income. For investments in equity instruments that are not held for trading, this will depend on whether the Group has made an irrevocable election at the time of initial recognition to account for the equity investment at fair value through other comprehensive income. Dividends from such investments continue to be recognized in profit or loss when the Group’s right to receive payments is established.</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financial assets at fair value through profit or loss are recognized in profit or loss as applicable.</w:t>
            </w:r>
          </w:p>
        </w:tc>
      </w:tr>
    </w:tbl>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Financial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Group’s financial liabilities are classified and measured at amortized cost using the effective interest method. </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Financial liabilities are derecognized when, and only when, the Group’s obligations are discharged, cancelled or expired. The difference between the carrying amount of the financial liability derecognized and the consideration paid and payable is recognized in profit or loss.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Financial assets and financial liabilities are offset, and the net amount is reported in the statement of financial position if there is a currently enforceable legal right to offset the recognized amounts and there is an intention to settle on a net basis, or to realize the assets and settle the liabilities simultaneously.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Convertible debt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As disclosed in Note 14, in 2021, the Group issued a convertible debt that can be converted into ordinary shares of the Group at the option of the holder. The number of shares to be issued is fixed and does not vary with changes in fair value. The Group accounts for the components of this compound financial instrument separately as a financial liability and an equity instrument. The liability component of the convertible debt is initially recognized at the fair value of a similar liability that does not have an equity conversion option. The equity component is initially recognized at the difference between the fair value of the convertible debt as a whole and the fair value of the liability component. Any directly attributable transaction costs are allocated to the liability and equity components in proportion to their initial carrying amounts. Subsequent to initial recognition, the liability component of the convertible debt is measured at amortized cost using the effective interest method. The equity component is not remeasured.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Interest related to financial liabilities is recognized in profit or loss. Upon conversion, the financial liability is reclassified to equity and no gain or loss will be recognized.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u.</w:t>
      </w:r>
      <w:r>
        <w:rPr>
          <w:rFonts w:ascii="Times New Roman;Times;serif" w:hAnsi="Times New Roman;Times;serif"/>
          <w:b/>
          <w:sz w:val="20"/>
        </w:rPr>
        <w:t>Credit losses and impairment of assets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(i)Credit losses from financial instruments at amortized cost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recognizes a loss allowance for expected credit losses (“ECL”) on financial assets, such as cash and cash equivalents, restricted cash and trade receivable, which are measured at amortized cost;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Measurement of ECLs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 The expected cash shortfalls are discounted using the following discount rates where the effect of discounting is material:</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fixed-rate financial assets, trade and other receivables: effective interest rate determined at initial recognition or an approximation thereof;</w:t>
            </w:r>
          </w:p>
        </w:tc>
      </w:tr>
    </w:tbl>
    <w:tbl>
      <w:tblPr>
        <w:tblW w:w="5286" w:type="dxa"/>
        <w:jc w:val="left"/>
        <w:tblInd w:w="0" w:type="dxa"/>
        <w:tblCellMar>
          <w:top w:w="28" w:type="dxa"/>
          <w:left w:w="28" w:type="dxa"/>
          <w:bottom w:w="28" w:type="dxa"/>
          <w:right w:w="28" w:type="dxa"/>
        </w:tblCellMar>
      </w:tblPr>
      <w:tblGrid>
        <w:gridCol w:w="124"/>
        <w:gridCol w:w="256"/>
        <w:gridCol w:w="4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variable-rate financial assets: current effective interest rate.</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maximum period considered when estimating ECLs is the maximum contractual period over which the Group is exposed to credit risk.</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 measuring ECLs, the Group takes into account reasonable and supportable information that is available without undue cost or effort. This includes information about past events, current conditions and forecasts of future economic conditions.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ECLs are measured on either of the following bases: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12-month ECLs: these are losses that are expected to result from possible default events within the 12 months after the reporting date;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lifetime ECLs: these are losses that are expected to result from all possible default events over the expected lives of the items to which the ECL model applies.</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Loss allowances for trade receivables are always measured at an amount equal to lifetime ECLs. ECL on this type of financial asset is estimated using a provision matrix based on the Group’s historical credit loss experience, adjusted for factors that are specific to the debtors and an assessment of both the current and forecast general economic conditions at the reporting date.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 all other financial instruments, the Group recognizes a loss allowance equal to 12-month ECLs unless there has been a significant increase in the credit risk of the financial instrument since initial recognition, in which case the loss allowance is measured at an amount equal to lifetime ECLs.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Significant increases in credit risk</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 assessing whether the credit risk of a financial instrument has increased significantly since initial recognition, the Group compares the risk of a default occurring on the financial instrument assessed at the reporting date with that assessed at the date of initial recognition. In making this reassessment, the Group considers that a default event occurs when the borrower is unlikely to pay its credit obligations to the Group in full and without recourse. The Group considers both quantitative and qualitative information that is reasonable and supportable, including historical experience and forward-looking information that is available without undue cost or effort.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 particular, the following information is taken into account when assessing whether credit risk has increased significantly since initial recognition:</w:t>
      </w:r>
    </w:p>
    <w:tbl>
      <w:tblPr>
        <w:tblW w:w="7086" w:type="dxa"/>
        <w:jc w:val="left"/>
        <w:tblInd w:w="0" w:type="dxa"/>
        <w:tblCellMar>
          <w:top w:w="28" w:type="dxa"/>
          <w:left w:w="28" w:type="dxa"/>
          <w:bottom w:w="28" w:type="dxa"/>
          <w:right w:w="28" w:type="dxa"/>
        </w:tblCellMar>
      </w:tblPr>
      <w:tblGrid>
        <w:gridCol w:w="124"/>
        <w:gridCol w:w="25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to make payments of principal or interest on their contractually due dates;</w:t>
            </w:r>
          </w:p>
        </w:tc>
      </w:tr>
    </w:tbl>
    <w:tbl>
      <w:tblPr>
        <w:tblW w:w="10191" w:type="dxa"/>
        <w:jc w:val="left"/>
        <w:tblInd w:w="0" w:type="dxa"/>
        <w:tblCellMar>
          <w:top w:w="28" w:type="dxa"/>
          <w:left w:w="28" w:type="dxa"/>
          <w:bottom w:w="28" w:type="dxa"/>
          <w:right w:w="28" w:type="dxa"/>
        </w:tblCellMar>
      </w:tblPr>
      <w:tblGrid>
        <w:gridCol w:w="124"/>
        <w:gridCol w:w="256"/>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actual or expected significant deterioration in a financial instrument’s external or internal credit rating (if available);</w:t>
            </w:r>
          </w:p>
        </w:tc>
      </w:tr>
    </w:tbl>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actual or expected significant deterioration in the operating results of the debtor;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existing or forecast changes in the technological, market, economic or legal environment that have a significant adverse effect on the debtor‘s ability to meet its obligation to the Group.</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past-due status and credit risk ratings.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ECLs are remeasured at each reporting date to reflect changes in the financial instrument’s credit risk since initial recognition. Any change in the ECL amount is recognized as an impairment gain or loss in profit or loss.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recognizes an impairment gain or loss for all financial instruments with a corresponding adjustment to their carrying amount through a loss allowance account.</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Impairment and write-off policy</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At each reporting date, the Group assesses whether a financial asset is credit-impaired. A financial asset is credit-impaired when one or more events that have a detrimental impact on the estimated future cash flows of the financial asset have occurred.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Evidence that a financial asset is credit-impaired includes the following observable events:</w:t>
      </w:r>
    </w:p>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significant financial difficulties of the debtor;</w:t>
            </w:r>
          </w:p>
        </w:tc>
      </w:tr>
    </w:tbl>
    <w:tbl>
      <w:tblPr>
        <w:tblW w:w="7551" w:type="dxa"/>
        <w:jc w:val="left"/>
        <w:tblInd w:w="0" w:type="dxa"/>
        <w:tblCellMar>
          <w:top w:w="28" w:type="dxa"/>
          <w:left w:w="28" w:type="dxa"/>
          <w:bottom w:w="28" w:type="dxa"/>
          <w:right w:w="28" w:type="dxa"/>
        </w:tblCellMar>
      </w:tblPr>
      <w:tblGrid>
        <w:gridCol w:w="124"/>
        <w:gridCol w:w="256"/>
        <w:gridCol w:w="71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1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breach of contract, such as a default or delinquency in interest or principal payments;</w:t>
            </w:r>
          </w:p>
        </w:tc>
      </w:tr>
    </w:tbl>
    <w:tbl>
      <w:tblPr>
        <w:tblW w:w="8601" w:type="dxa"/>
        <w:jc w:val="left"/>
        <w:tblInd w:w="0" w:type="dxa"/>
        <w:tblCellMar>
          <w:top w:w="28" w:type="dxa"/>
          <w:left w:w="28" w:type="dxa"/>
          <w:bottom w:w="28" w:type="dxa"/>
          <w:right w:w="28" w:type="dxa"/>
        </w:tblCellMar>
      </w:tblPr>
      <w:tblGrid>
        <w:gridCol w:w="124"/>
        <w:gridCol w:w="256"/>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2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is becoming probable that the borrower will enter into bankruptcy or other financial reorganization;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significant changes in the technological, market, economic or legal environment that have an adverse effect on the debtor; or</w:t>
            </w:r>
          </w:p>
        </w:tc>
      </w:tr>
    </w:tbl>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disappearance of an active market for a security because of financial difficulties of the issuer.</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gross carrying amount of a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Subsequent recoveries of an asset that was previously written off are recognized as a reversal of impairment in profit or loss in the period in which the recovery occurs.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(ii)Credit losses from cryptocurrency receivables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recognizes an allowance for cryptocurrency receivables using the general expected credit losses model in manner a similar to the model and consideration used for assessing credit losses from financial instruments discussed above. Under this model, the Group calculates the allowance for credit losses by considering on a discounted basis, all expected shortfalls which are the difference between the quantity of cryptocurrency due to the Group in accordance with the contract and the quantity of cryptocurrency that the Group expects to receive, in various default scenarios for prescribed future periods and multiplying the shortfalls by the probability of each scenario occurring. The allowance on the financial asset is the sum of these probability-weighted outcomes.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considers both internal and external, and quantitative and qualitative factors when estimating ECL for cryptocurrency receivables such as the creditworthiness of the counterparty, the result of the historical transactions with the counterparty, the business practice of the counterparty, regulatory development relating to the industry, liquidity of the underlying cryptocurrency, and the trend of the general economy.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bookmarkStart w:id="834" w:name="_db030a01_47c2_453d_abd7_1b6134fdf573_4"/>
      <w:bookmarkStart w:id="835" w:name="_db030a01_47c2_453d_abd7_1b6134fdf573_3"/>
      <w:bookmarkStart w:id="836" w:name="_db030a01_47c2_453d_abd7_1b6134fdf573_2"/>
      <w:bookmarkStart w:id="837" w:name="_db030a01_47c2_453d_abd7_1b6134fdf573"/>
      <w:bookmarkEnd w:id="834"/>
      <w:bookmarkEnd w:id="835"/>
      <w:bookmarkEnd w:id="836"/>
      <w:bookmarkEnd w:id="837"/>
      <w:r>
        <w:rPr>
          <w:rFonts w:ascii="Times New Roman;Times;serif" w:hAnsi="Times New Roman;Times;serif"/>
          <w:sz w:val="20"/>
        </w:rPr>
        <w:t>The Group recognizes an impairment gain or loss for expected credit losses from cryptocurrency receivables with a corresponding adjustment to their carrying amount through a loss allowance account. Subsequent recoveries of cryptocurrency receivables previously written off are recognized as a reversal of impairment in profit or loss in the period in which the recovery occurs.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 balance of cryptocurrency receivables was nil and no cryptocurrency receivable was past due. No allowance, write-offs or recoveries were recognized against the cryptocurrency receivables for the years ended December 31, 2020, 2021 and 2022.</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(iii)Impairment of other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Internal and external sources of information are reviewed at the end of each reporting period to identify indications that the following assets may be impaired or, an impairment loss previously recognized no longer exists or may have decreased:</w:t>
      </w:r>
    </w:p>
    <w:tbl>
      <w:tblPr>
        <w:tblW w:w="3051" w:type="dxa"/>
        <w:jc w:val="left"/>
        <w:tblInd w:w="0" w:type="dxa"/>
        <w:tblCellMar>
          <w:top w:w="28" w:type="dxa"/>
          <w:left w:w="28" w:type="dxa"/>
          <w:bottom w:w="28" w:type="dxa"/>
          <w:right w:w="28" w:type="dxa"/>
        </w:tblCellMar>
      </w:tblPr>
      <w:tblGrid>
        <w:gridCol w:w="124"/>
        <w:gridCol w:w="256"/>
        <w:gridCol w:w="2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plant and equipment;</w:t>
            </w:r>
          </w:p>
        </w:tc>
      </w:tr>
    </w:tbl>
    <w:tbl>
      <w:tblPr>
        <w:tblW w:w="2496" w:type="dxa"/>
        <w:jc w:val="left"/>
        <w:tblInd w:w="0" w:type="dxa"/>
        <w:tblCellMar>
          <w:top w:w="28" w:type="dxa"/>
          <w:left w:w="28" w:type="dxa"/>
          <w:bottom w:w="28" w:type="dxa"/>
          <w:right w:w="28" w:type="dxa"/>
        </w:tblCellMar>
      </w:tblPr>
      <w:tblGrid>
        <w:gridCol w:w="124"/>
        <w:gridCol w:w="256"/>
        <w:gridCol w:w="2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 right-of-use assets;</w:t>
            </w:r>
          </w:p>
        </w:tc>
      </w:tr>
    </w:tbl>
    <w:tbl>
      <w:tblPr>
        <w:tblW w:w="2346" w:type="dxa"/>
        <w:jc w:val="left"/>
        <w:tblInd w:w="0" w:type="dxa"/>
        <w:tblCellMar>
          <w:top w:w="28" w:type="dxa"/>
          <w:left w:w="28" w:type="dxa"/>
          <w:bottom w:w="28" w:type="dxa"/>
          <w:right w:w="28" w:type="dxa"/>
        </w:tblCellMar>
      </w:tblPr>
      <w:tblGrid>
        <w:gridCol w:w="124"/>
        <w:gridCol w:w="256"/>
        <w:gridCol w:w="19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19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investment properties;</w:t>
            </w:r>
          </w:p>
        </w:tc>
      </w:tr>
    </w:tbl>
    <w:tbl>
      <w:tblPr>
        <w:tblW w:w="2286" w:type="dxa"/>
        <w:jc w:val="left"/>
        <w:tblInd w:w="0" w:type="dxa"/>
        <w:tblCellMar>
          <w:top w:w="28" w:type="dxa"/>
          <w:left w:w="28" w:type="dxa"/>
          <w:bottom w:w="28" w:type="dxa"/>
          <w:right w:w="28" w:type="dxa"/>
        </w:tblCellMar>
      </w:tblPr>
      <w:tblGrid>
        <w:gridCol w:w="124"/>
        <w:gridCol w:w="256"/>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1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intangible assets; and</w:t>
            </w:r>
          </w:p>
        </w:tc>
      </w:tr>
    </w:tbl>
    <w:tbl>
      <w:tblPr>
        <w:tblW w:w="3351" w:type="dxa"/>
        <w:jc w:val="left"/>
        <w:tblInd w:w="0" w:type="dxa"/>
        <w:tblCellMar>
          <w:top w:w="28" w:type="dxa"/>
          <w:left w:w="28" w:type="dxa"/>
          <w:bottom w:w="28" w:type="dxa"/>
          <w:right w:w="28" w:type="dxa"/>
        </w:tblCellMar>
      </w:tblPr>
      <w:tblGrid>
        <w:gridCol w:w="124"/>
        <w:gridCol w:w="256"/>
        <w:gridCol w:w="2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cryptocurrencies other than USDC.</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If any such indication exists, the asset’s recoverable amount is estimated. In addition, for cryptocurrencies other than USDC, the recoverable amount is estimated at each reporting date whether or not there is any indication of impairment.</w:t>
      </w:r>
    </w:p>
    <w:tbl>
      <w:tblPr>
        <w:tblW w:w="3351" w:type="dxa"/>
        <w:jc w:val="left"/>
        <w:tblInd w:w="0" w:type="dxa"/>
        <w:tblCellMar>
          <w:top w:w="28" w:type="dxa"/>
          <w:left w:w="28" w:type="dxa"/>
          <w:bottom w:w="28" w:type="dxa"/>
          <w:right w:w="28" w:type="dxa"/>
        </w:tblCellMar>
      </w:tblPr>
      <w:tblGrid>
        <w:gridCol w:w="124"/>
        <w:gridCol w:w="256"/>
        <w:gridCol w:w="2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Calculation of recoverable amount</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recoverable amount of cryptocurrencies other than USDC is based on the fair value less costs of disposal. The fair value of these cryptocurrencies is measured using the quoted price of these cryptocurrencies at the time the fair value is being measured.</w:t>
      </w:r>
    </w:p>
    <w:tbl>
      <w:tblPr>
        <w:tblW w:w="3261" w:type="dxa"/>
        <w:jc w:val="left"/>
        <w:tblInd w:w="0" w:type="dxa"/>
        <w:tblCellMar>
          <w:top w:w="28" w:type="dxa"/>
          <w:left w:w="28" w:type="dxa"/>
          <w:bottom w:w="28" w:type="dxa"/>
          <w:right w:w="28" w:type="dxa"/>
        </w:tblCellMar>
      </w:tblPr>
      <w:tblGrid>
        <w:gridCol w:w="124"/>
        <w:gridCol w:w="256"/>
        <w:gridCol w:w="2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Recognition of impairment losses</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An impairment loss is recognized in profit or loss if the carrying amount of an asset, or the cash-generating unit to which it belongs, exceeds its recoverable amount. Impairment losses recognized in respect of cash-generating units are allocated first to reduce the carrying amount of any goodwill (if any) allocated to the cash-generating unit (or group of units) and then, to reduce the carrying amount of the other assets in the unit (or group of units) on a pro-rata basis, except that the carrying value of an asset will not be reduced below its individual fair value less costs of disposal (if measurable) or value in use (if determinable).</w:t>
      </w:r>
    </w:p>
    <w:tbl>
      <w:tblPr>
        <w:tblW w:w="3021" w:type="dxa"/>
        <w:jc w:val="left"/>
        <w:tblInd w:w="0" w:type="dxa"/>
        <w:tblCellMar>
          <w:top w:w="28" w:type="dxa"/>
          <w:left w:w="28" w:type="dxa"/>
          <w:bottom w:w="28" w:type="dxa"/>
          <w:right w:w="28" w:type="dxa"/>
        </w:tblCellMar>
      </w:tblPr>
      <w:tblGrid>
        <w:gridCol w:w="124"/>
        <w:gridCol w:w="256"/>
        <w:gridCol w:w="2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Reversals of impairment losses</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An impairment loss is reversed if there has been a favorable change in the estimates used to determine the recoverable amount.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bookmarkStart w:id="838" w:name="Tc_EQ1pm9qUhEO9MyrJTKJp8Q_9_0"/>
      <w:bookmarkStart w:id="839" w:name="Tc_gBJmGff8iE-nyOVAaB_21A_8_0"/>
      <w:bookmarkStart w:id="840" w:name="Tc_VJHQDjShVke3PaGm7kPjvw_7_0"/>
      <w:bookmarkStart w:id="841" w:name="Tc_-rC-pHGgeEyL3hhg_jZrqw_6_0"/>
      <w:bookmarkStart w:id="842" w:name="Tc_aCIJUMXW-EGqMmzd9nIe_A_5_0"/>
      <w:bookmarkStart w:id="843" w:name="Tc_MJSi4_JgT0qNc3avvOM5HA_4_0"/>
      <w:bookmarkStart w:id="844" w:name="Tc_JOioiveAGUeGI65YUVSIoA_3_2"/>
      <w:bookmarkStart w:id="845" w:name="Tc_WJkg-sPlSU-SrsISh0vueA_3_0"/>
      <w:bookmarkStart w:id="846" w:name="Tc_yIJk4aVZ20aGSxDUZ8LSwA_2_6"/>
      <w:bookmarkStart w:id="847" w:name="Tc_G-HkCfO5Z0-d8QIIZXQO7g_2_4"/>
      <w:bookmarkStart w:id="848" w:name="Tc_uRrlLYwUzUmkxkW5SANzXQ_2_2"/>
      <w:bookmarkStart w:id="849" w:name="Tc_SCvpiDr77kiHCYHukmteZw_1_2"/>
      <w:bookmarkEnd w:id="838"/>
      <w:bookmarkEnd w:id="839"/>
      <w:bookmarkEnd w:id="840"/>
      <w:bookmarkEnd w:id="841"/>
      <w:bookmarkEnd w:id="842"/>
      <w:bookmarkEnd w:id="843"/>
      <w:bookmarkEnd w:id="844"/>
      <w:bookmarkEnd w:id="845"/>
      <w:bookmarkEnd w:id="846"/>
      <w:bookmarkEnd w:id="847"/>
      <w:bookmarkEnd w:id="848"/>
      <w:bookmarkEnd w:id="849"/>
      <w:r>
        <w:rPr>
          <w:rFonts w:ascii="Times New Roman;Times;serif" w:hAnsi="Times New Roman;Times;serif"/>
          <w:sz w:val="20"/>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v.</w:t>
      </w:r>
      <w:r>
        <w:rPr>
          <w:rFonts w:ascii="Times New Roman;Times;serif" w:hAnsi="Times New Roman;Times;serif"/>
          <w:b/>
          <w:sz w:val="20"/>
        </w:rPr>
        <w:t>Provisions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The timing or amount of the outflow may still be uncertain. Provisions are measured using the best estimate of the expenditure required to settle the present obligation at the end of the reporting period, taking into account risks and uncertainties associated with the obligation. Provisions are discounted where the time value of money is considered material.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w.</w:t>
      </w:r>
      <w:r>
        <w:rPr>
          <w:rFonts w:ascii="Times New Roman;Times;serif" w:hAnsi="Times New Roman;Times;serif"/>
          <w:b/>
          <w:sz w:val="20"/>
        </w:rPr>
        <w:t>Segment information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Operating segments are identified on the basis of internal reports about components of the Group that are regularly reviewed by the chief operating decision maker in order to allocate resources to the segments and to assess their performances.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An operating segment is a component of an entity: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that engages in business activities from which it may earn revenues and incur expenses (including revenues and expenses relating to the transactions with other components of the same entity);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whose operating results are reviewed regularly by the entity’s chief operating decision maker to make decisions about resources to be allocated to the segments and assess its performance; and</w:t>
            </w:r>
          </w:p>
        </w:tc>
      </w:tr>
    </w:tbl>
    <w:tbl>
      <w:tblPr>
        <w:tblW w:w="4761" w:type="dxa"/>
        <w:jc w:val="left"/>
        <w:tblInd w:w="0" w:type="dxa"/>
        <w:tblCellMar>
          <w:top w:w="28" w:type="dxa"/>
          <w:left w:w="28" w:type="dxa"/>
          <w:bottom w:w="28" w:type="dxa"/>
          <w:right w:w="28" w:type="dxa"/>
        </w:tblCellMar>
      </w:tblPr>
      <w:tblGrid>
        <w:gridCol w:w="124"/>
        <w:gridCol w:w="256"/>
        <w:gridCol w:w="43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3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which discrete financial information is available.</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chief operating decision maker makes resource allocation decisions based on internal management functions and assesses the Group’s business performance as one integrated business instead of by separate business lines or geographical regions. Accordingly, the Group has only one operating segment and therefore, no segment information is presented.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Disaggregated revenue data by geographical region in terms of the customer’s location within the operating segment is as follows:</w:t>
      </w:r>
    </w:p>
    <w:p>
      <w:pPr>
        <w:pStyle w:val="TextBody"/>
        <w:spacing w:before="0" w:after="0"/>
        <w:ind w:left="0" w:right="0" w:hanging="0"/>
        <w:rPr/>
      </w:pPr>
      <w:r>
        <w:rPr/>
        <w:t>​</w:t>
      </w:r>
    </w:p>
    <w:tbl>
      <w:tblPr>
        <w:tblW w:w="5767" w:type="dxa"/>
        <w:jc w:val="left"/>
        <w:tblInd w:w="0" w:type="dxa"/>
        <w:tblCellMar>
          <w:top w:w="0" w:type="dxa"/>
          <w:left w:w="0" w:type="dxa"/>
          <w:bottom w:w="0" w:type="dxa"/>
          <w:right w:w="0" w:type="dxa"/>
        </w:tblCellMar>
      </w:tblPr>
      <w:tblGrid>
        <w:gridCol w:w="2266"/>
        <w:gridCol w:w="326"/>
        <w:gridCol w:w="856"/>
        <w:gridCol w:w="326"/>
        <w:gridCol w:w="781"/>
        <w:gridCol w:w="326"/>
        <w:gridCol w:w="886"/>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38910" cy="175260"/>
                      <wp:effectExtent l="0" t="0" r="0" b="0"/>
                      <wp:wrapNone/>
                      <wp:docPr id="168" name="Frame167"/>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43560" cy="175260"/>
                      <wp:effectExtent l="0" t="0" r="0" b="0"/>
                      <wp:wrapNone/>
                      <wp:docPr id="170" name="Frame169"/>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935" cy="175260"/>
                      <wp:effectExtent l="0" t="0" r="0" b="0"/>
                      <wp:wrapNone/>
                      <wp:docPr id="172" name="Frame17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62610" cy="175260"/>
                      <wp:effectExtent l="0" t="0" r="0" b="0"/>
                      <wp:wrapNone/>
                      <wp:docPr id="174" name="Frame17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17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(Restated)</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Singapore</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90,808</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79,537</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27,591</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Asia, excluding Singapore</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57,146</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211,805</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136,901</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North America</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24,063</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75,559</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141,174</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Europe</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7,755</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15,487</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19,075</w:t>
            </w:r>
          </w:p>
        </w:tc>
      </w:tr>
      <w:tr>
        <w:trPr/>
        <w:tc>
          <w:tcPr>
            <w:tcW w:w="2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6,615</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12,273</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8,601</w:t>
            </w:r>
          </w:p>
        </w:tc>
      </w:tr>
      <w:tr>
        <w:trPr/>
        <w:tc>
          <w:tcPr>
            <w:tcW w:w="2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186,387</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394,661</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333,342</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720" w:right="0" w:hanging="0"/>
        <w:jc w:val="both"/>
        <w:rPr>
          <w:rFonts w:ascii="Times New Roman;Times;serif" w:hAnsi="Times New Roman;Times;serif"/>
          <w:sz w:val="20"/>
        </w:rPr>
      </w:pPr>
      <w:bookmarkStart w:id="850" w:name="Tc_dzf66uR81kuTD4hJmBLhCQ_6_0"/>
      <w:bookmarkStart w:id="851" w:name="Tc_-08FirvYtU6bli_nM5uzqA_5_0"/>
      <w:bookmarkStart w:id="852" w:name="Tc_vMFR0Fyi50-KzecG1WLMJQ_4_0"/>
      <w:bookmarkStart w:id="853" w:name="Tc_xR-Gmbf2t0i3ga1fJLiNcQ_3_0"/>
      <w:bookmarkStart w:id="854" w:name="Tc_d9N5tdox1kaulAro23YtDw_2_4"/>
      <w:bookmarkStart w:id="855" w:name="Tc_tLJY2FJyaUCkYadebwwuCw_2_2"/>
      <w:bookmarkStart w:id="856" w:name="Tc_p0e0qbI4GE-ay1p0oEz0wg_1_2"/>
      <w:bookmarkEnd w:id="850"/>
      <w:bookmarkEnd w:id="851"/>
      <w:bookmarkEnd w:id="852"/>
      <w:bookmarkEnd w:id="853"/>
      <w:bookmarkEnd w:id="854"/>
      <w:bookmarkEnd w:id="855"/>
      <w:bookmarkEnd w:id="856"/>
      <w:r>
        <w:rPr>
          <w:rFonts w:ascii="Times New Roman;Times;serif" w:hAnsi="Times New Roman;Times;serif"/>
          <w:sz w:val="20"/>
        </w:rPr>
        <w:t>Selected assets of mining machines, property, plant and equipment, investment properties, right-of-use assets and intangible assets by geographical region within the operating segment is as follows:</w:t>
      </w:r>
    </w:p>
    <w:p>
      <w:pPr>
        <w:pStyle w:val="TextBody"/>
        <w:spacing w:before="0" w:after="0"/>
        <w:ind w:left="0" w:right="0" w:hanging="0"/>
        <w:rPr/>
      </w:pPr>
      <w:r>
        <w:rPr/>
        <w:t>​</w:t>
      </w:r>
    </w:p>
    <w:tbl>
      <w:tblPr>
        <w:tblW w:w="3625" w:type="dxa"/>
        <w:jc w:val="left"/>
        <w:tblInd w:w="0" w:type="dxa"/>
        <w:tblCellMar>
          <w:top w:w="0" w:type="dxa"/>
          <w:left w:w="0" w:type="dxa"/>
          <w:bottom w:w="0" w:type="dxa"/>
          <w:right w:w="0" w:type="dxa"/>
        </w:tblCellMar>
      </w:tblPr>
      <w:tblGrid>
        <w:gridCol w:w="1306"/>
        <w:gridCol w:w="326"/>
        <w:gridCol w:w="781"/>
        <w:gridCol w:w="326"/>
        <w:gridCol w:w="886"/>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829310" cy="175260"/>
                      <wp:effectExtent l="0" t="0" r="0" b="0"/>
                      <wp:wrapNone/>
                      <wp:docPr id="175" name="Frame174"/>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7" name="Frame1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62610" cy="175260"/>
                      <wp:effectExtent l="0" t="0" r="0" b="0"/>
                      <wp:wrapNone/>
                      <wp:docPr id="179" name="Frame17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Singapore</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7,481</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46,306</w:t>
            </w:r>
          </w:p>
        </w:tc>
      </w:tr>
      <w:tr>
        <w:trPr/>
        <w:tc>
          <w:tcPr>
            <w:tcW w:w="1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North America</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181,864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170,439</w:t>
            </w:r>
          </w:p>
        </w:tc>
      </w:tr>
      <w:tr>
        <w:trPr/>
        <w:tc>
          <w:tcPr>
            <w:tcW w:w="1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Europe</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18,797</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45,540</w:t>
            </w:r>
          </w:p>
        </w:tc>
      </w:tr>
      <w:tr>
        <w:trPr/>
        <w:tc>
          <w:tcPr>
            <w:tcW w:w="1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7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208,142</w:t>
            </w:r>
          </w:p>
        </w:tc>
        <w:tc>
          <w:tcPr>
            <w:tcW w:w="326" w:type="dxa"/>
            <w:tcBorders/>
            <w:shd w:fill="auto" w:val="clear"/>
            <w:vAlign w:val="center"/>
          </w:tcPr>
          <w:p>
            <w:pPr>
              <w:pStyle w:val="TableContents"/>
              <w:spacing w:before="0" w:after="1"/>
              <w:ind w:left="0" w:right="0" w:hanging="0"/>
              <w:rPr/>
            </w:pPr>
            <w:r>
              <w:rPr/>
              <w:t> </w:t>
            </w:r>
          </w:p>
        </w:tc>
        <w:tc>
          <w:tcPr>
            <w:tcW w:w="88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262,285</w:t>
            </w:r>
          </w:p>
        </w:tc>
      </w:tr>
    </w:tbl>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x.</w:t>
      </w:r>
      <w:r>
        <w:rPr>
          <w:rFonts w:ascii="Times New Roman;Times;serif" w:hAnsi="Times New Roman;Times;serif"/>
          <w:b/>
          <w:sz w:val="20"/>
        </w:rPr>
        <w:t>Earnings per share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Basic earnings per share is computed by dividing the income attributable to equity shareholders of the Group by the weighted average number of ordinary shares outstanding during the period.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Diluted earnings per share is computed by dividing the income attributable to equity shareholders of the Group by the weighted average number of ordinary shares outstanding during the period, after adjusting for the effects of the dilutive potential ordinary shares.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When calculating basic loss per share for the years ended December 31, 2020, the denominator for the period prior to the Reorganization included the number of shares issued in the Reorganization, as if the Reorganization occurred prior to or as of January 1, 2020.</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y.</w:t>
      </w:r>
      <w:r>
        <w:rPr>
          <w:rFonts w:ascii="Times New Roman;Times;serif" w:hAnsi="Times New Roman;Times;serif"/>
          <w:b/>
          <w:sz w:val="20"/>
        </w:rPr>
        <w:t>Asset acquisition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Asset acquisitions are acquisitions that do not qualify as business combinations under IFRS 3. IFRS 3 allows the use of an optional concentration test to determine if an acquisition is a business combination or an asset acquisition. Under the optional concentration test, if substantially all of the fair value of the gross assets acquired is concentrated in a single identifiable asset or group of similar identifiable assets, the test is met, and the integrated asset of assets and activities acquired is not a business.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Assets acquired in an asset acquisition are initially recognized, at the date of acquisition, at cost. Costs directly attributable to the acquisition of such assets are included in the initial carrying amount.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z.</w:t>
      </w:r>
      <w:r>
        <w:rPr>
          <w:rFonts w:ascii="Times New Roman;Times;serif" w:hAnsi="Times New Roman;Times;serif"/>
          <w:b/>
          <w:sz w:val="20"/>
        </w:rPr>
        <w:t>Initial application of new or amended standards during the reporting periods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As from January 1, 2022, the Group adopted the following recently issued or amended standards. These new standards are not expected to have any significant impact on the Group’s financial statements: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760"/>
        <w:gridCol w:w="326"/>
        <w:gridCol w:w="1372"/>
        <w:gridCol w:w="326"/>
        <w:gridCol w:w="1421"/>
      </w:tblGrid>
      <w:tr>
        <w:trPr/>
        <w:tc>
          <w:tcPr>
            <w:tcW w:w="67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0" cy="175260"/>
                      <wp:effectExtent l="0" t="0" r="0" b="0"/>
                      <wp:wrapNone/>
                      <wp:docPr id="180" name="Frame179"/>
                      <a:graphic xmlns:a="http://schemas.openxmlformats.org/drawingml/2006/main">
                        <a:graphicData uri="http://schemas.microsoft.com/office/word/2010/wordprocessingShape">
                          <wps:wsp>
                            <wps:cNvSpPr txBox="1"/>
                            <wps:spPr>
                              <a:xfrm>
                                <a:off x="0" y="0"/>
                                <a:ext cx="4292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71220" cy="175260"/>
                      <wp:effectExtent l="0" t="0" r="0" b="0"/>
                      <wp:wrapNone/>
                      <wp:docPr id="182" name="Frame181"/>
                      <a:graphic xmlns:a="http://schemas.openxmlformats.org/drawingml/2006/main">
                        <a:graphicData uri="http://schemas.microsoft.com/office/word/2010/wordprocessingShape">
                          <wps:wsp>
                            <wps:cNvSpPr txBox="1"/>
                            <wps:spPr>
                              <a:xfrm>
                                <a:off x="0" y="0"/>
                                <a:ext cx="871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02335" cy="175260"/>
                      <wp:effectExtent l="0" t="0" r="0" b="0"/>
                      <wp:wrapNone/>
                      <wp:docPr id="184" name="Frame183"/>
                      <a:graphic xmlns:a="http://schemas.openxmlformats.org/drawingml/2006/main">
                        <a:graphicData uri="http://schemas.microsoft.com/office/word/2010/wordprocessingShape">
                          <wps:wsp>
                            <wps:cNvSpPr txBox="1"/>
                            <wps:spPr>
                              <a:xfrm>
                                <a:off x="0" y="0"/>
                                <a:ext cx="902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7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7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Application</w:t>
            </w:r>
          </w:p>
        </w:tc>
        <w:tc>
          <w:tcPr>
            <w:tcW w:w="326" w:type="dxa"/>
            <w:tcBorders/>
            <w:shd w:fill="auto" w:val="clear"/>
            <w:vAlign w:val="center"/>
          </w:tcPr>
          <w:p>
            <w:pPr>
              <w:pStyle w:val="TableContents"/>
              <w:spacing w:before="0" w:after="1"/>
              <w:ind w:left="0" w:right="0" w:hanging="0"/>
              <w:jc w:val="center"/>
              <w:rPr/>
            </w:pPr>
            <w:r>
              <w:rPr/>
              <w:t>    </w:t>
            </w:r>
          </w:p>
        </w:tc>
        <w:tc>
          <w:tcPr>
            <w:tcW w:w="14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Application</w:t>
            </w:r>
          </w:p>
        </w:tc>
      </w:tr>
      <w:tr>
        <w:trPr/>
        <w:tc>
          <w:tcPr>
            <w:tcW w:w="67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7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for the</w:t>
            </w:r>
          </w:p>
        </w:tc>
      </w:tr>
      <w:tr>
        <w:trPr/>
        <w:tc>
          <w:tcPr>
            <w:tcW w:w="6760" w:type="dxa"/>
            <w:tcBorders>
              <w:bottom w:val="single" w:sz="2" w:space="0" w:color="000000"/>
            </w:tcBorders>
            <w:shd w:fill="auto" w:val="clear"/>
            <w:tcMar>
              <w:bottom w:w="28" w:type="dxa"/>
            </w:tcM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Standard/Interpretation</w:t>
            </w:r>
          </w:p>
        </w:tc>
        <w:tc>
          <w:tcPr>
            <w:tcW w:w="326" w:type="dxa"/>
            <w:tcBorders/>
            <w:shd w:fill="auto" w:val="clear"/>
            <w:vAlign w:val="center"/>
          </w:tcPr>
          <w:p>
            <w:pPr>
              <w:pStyle w:val="TableContents"/>
              <w:spacing w:before="0" w:after="1"/>
              <w:ind w:left="0" w:right="0" w:hanging="0"/>
              <w:jc w:val="center"/>
              <w:rPr/>
            </w:pPr>
            <w:r>
              <w:rPr/>
              <w:t>​</w:t>
            </w:r>
          </w:p>
        </w:tc>
        <w:tc>
          <w:tcPr>
            <w:tcW w:w="137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Standard</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Group</w:t>
            </w:r>
          </w:p>
        </w:tc>
      </w:tr>
      <w:tr>
        <w:trPr/>
        <w:tc>
          <w:tcPr>
            <w:tcW w:w="676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IFRS 1, Subsidiary as a First-time Adopter</w:t>
            </w:r>
          </w:p>
        </w:tc>
        <w:tc>
          <w:tcPr>
            <w:tcW w:w="326" w:type="dxa"/>
            <w:tcBorders/>
            <w:shd w:fill="CCEEFF" w:val="clear"/>
            <w:vAlign w:val="center"/>
          </w:tcPr>
          <w:p>
            <w:pPr>
              <w:pStyle w:val="TableContents"/>
              <w:spacing w:before="0" w:after="1"/>
              <w:ind w:left="0" w:right="0" w:hanging="0"/>
              <w:rPr/>
            </w:pPr>
            <w:r>
              <w:rPr/>
              <w:t>​</w:t>
            </w:r>
          </w:p>
        </w:tc>
        <w:tc>
          <w:tcPr>
            <w:tcW w:w="137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c>
          <w:tcPr>
            <w:tcW w:w="326" w:type="dxa"/>
            <w:tcBorders/>
            <w:shd w:fill="CCEEFF" w:val="clear"/>
            <w:vAlign w:val="center"/>
          </w:tcPr>
          <w:p>
            <w:pPr>
              <w:pStyle w:val="TableContents"/>
              <w:spacing w:before="0" w:after="1"/>
              <w:ind w:left="0" w:right="0" w:hanging="0"/>
              <w:rPr/>
            </w:pPr>
            <w:r>
              <w:rPr/>
              <w:t>​</w:t>
            </w:r>
          </w:p>
        </w:tc>
        <w:tc>
          <w:tcPr>
            <w:tcW w:w="142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r>
      <w:tr>
        <w:trPr/>
        <w:tc>
          <w:tcPr>
            <w:tcW w:w="676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IFRS 9, Derecognition of Financial Liabilities</w:t>
            </w:r>
          </w:p>
        </w:tc>
        <w:tc>
          <w:tcPr>
            <w:tcW w:w="326" w:type="dxa"/>
            <w:tcBorders/>
            <w:shd w:fill="auto" w:val="clear"/>
            <w:vAlign w:val="center"/>
          </w:tcPr>
          <w:p>
            <w:pPr>
              <w:pStyle w:val="TableContents"/>
              <w:spacing w:before="0" w:after="1"/>
              <w:ind w:left="0" w:right="0" w:hanging="0"/>
              <w:rPr/>
            </w:pPr>
            <w:r>
              <w:rPr/>
              <w:t>​</w:t>
            </w:r>
          </w:p>
        </w:tc>
        <w:tc>
          <w:tcPr>
            <w:tcW w:w="137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c>
          <w:tcPr>
            <w:tcW w:w="326" w:type="dxa"/>
            <w:tcBorders/>
            <w:shd w:fill="auto" w:val="clear"/>
            <w:vAlign w:val="center"/>
          </w:tcPr>
          <w:p>
            <w:pPr>
              <w:pStyle w:val="TableContents"/>
              <w:spacing w:before="0" w:after="1"/>
              <w:ind w:left="0" w:right="0" w:hanging="0"/>
              <w:rPr/>
            </w:pPr>
            <w:r>
              <w:rPr/>
              <w:t>​</w:t>
            </w:r>
          </w:p>
        </w:tc>
        <w:tc>
          <w:tcPr>
            <w:tcW w:w="142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r>
      <w:tr>
        <w:trPr/>
        <w:tc>
          <w:tcPr>
            <w:tcW w:w="676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IFRS 3, Reference to the Conceptual Framework</w:t>
            </w:r>
          </w:p>
        </w:tc>
        <w:tc>
          <w:tcPr>
            <w:tcW w:w="326" w:type="dxa"/>
            <w:tcBorders/>
            <w:shd w:fill="CCEEFF" w:val="clear"/>
            <w:vAlign w:val="center"/>
          </w:tcPr>
          <w:p>
            <w:pPr>
              <w:pStyle w:val="TableContents"/>
              <w:spacing w:before="0" w:after="1"/>
              <w:ind w:left="0" w:right="0" w:hanging="0"/>
              <w:rPr/>
            </w:pPr>
            <w:r>
              <w:rPr/>
              <w:t>​</w:t>
            </w:r>
          </w:p>
        </w:tc>
        <w:tc>
          <w:tcPr>
            <w:tcW w:w="137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c>
          <w:tcPr>
            <w:tcW w:w="326" w:type="dxa"/>
            <w:tcBorders/>
            <w:shd w:fill="CCEEFF" w:val="clear"/>
            <w:vAlign w:val="center"/>
          </w:tcPr>
          <w:p>
            <w:pPr>
              <w:pStyle w:val="TableContents"/>
              <w:spacing w:before="0" w:after="1"/>
              <w:ind w:left="0" w:right="0" w:hanging="0"/>
              <w:rPr/>
            </w:pPr>
            <w:r>
              <w:rPr/>
              <w:t>​</w:t>
            </w:r>
          </w:p>
        </w:tc>
        <w:tc>
          <w:tcPr>
            <w:tcW w:w="142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r>
      <w:tr>
        <w:trPr/>
        <w:tc>
          <w:tcPr>
            <w:tcW w:w="676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16, Property, Plant and Equipment: Proceeds before Intended Use</w:t>
            </w:r>
          </w:p>
        </w:tc>
        <w:tc>
          <w:tcPr>
            <w:tcW w:w="326" w:type="dxa"/>
            <w:tcBorders/>
            <w:shd w:fill="auto" w:val="clear"/>
            <w:vAlign w:val="center"/>
          </w:tcPr>
          <w:p>
            <w:pPr>
              <w:pStyle w:val="TableContents"/>
              <w:spacing w:before="0" w:after="1"/>
              <w:ind w:left="0" w:right="0" w:hanging="0"/>
              <w:rPr/>
            </w:pPr>
            <w:r>
              <w:rPr/>
              <w:t>​</w:t>
            </w:r>
          </w:p>
        </w:tc>
        <w:tc>
          <w:tcPr>
            <w:tcW w:w="137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c>
          <w:tcPr>
            <w:tcW w:w="326" w:type="dxa"/>
            <w:tcBorders/>
            <w:shd w:fill="auto" w:val="clear"/>
            <w:vAlign w:val="center"/>
          </w:tcPr>
          <w:p>
            <w:pPr>
              <w:pStyle w:val="TableContents"/>
              <w:spacing w:before="0" w:after="1"/>
              <w:ind w:left="0" w:right="0" w:hanging="0"/>
              <w:rPr/>
            </w:pPr>
            <w:r>
              <w:rPr/>
              <w:t>​</w:t>
            </w:r>
          </w:p>
        </w:tc>
        <w:tc>
          <w:tcPr>
            <w:tcW w:w="142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r>
      <w:tr>
        <w:trPr/>
        <w:tc>
          <w:tcPr>
            <w:tcW w:w="676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37, Onerous Contracts – Cost of Fulfilling a Contract</w:t>
            </w:r>
          </w:p>
        </w:tc>
        <w:tc>
          <w:tcPr>
            <w:tcW w:w="326" w:type="dxa"/>
            <w:tcBorders/>
            <w:shd w:fill="CCEEFF" w:val="clear"/>
            <w:vAlign w:val="center"/>
          </w:tcPr>
          <w:p>
            <w:pPr>
              <w:pStyle w:val="TableContents"/>
              <w:spacing w:before="0" w:after="1"/>
              <w:ind w:left="0" w:right="0" w:hanging="0"/>
              <w:rPr/>
            </w:pPr>
            <w:r>
              <w:rPr/>
              <w:t>​</w:t>
            </w:r>
          </w:p>
        </w:tc>
        <w:tc>
          <w:tcPr>
            <w:tcW w:w="137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c>
          <w:tcPr>
            <w:tcW w:w="326" w:type="dxa"/>
            <w:tcBorders/>
            <w:shd w:fill="CCEEFF" w:val="clear"/>
            <w:vAlign w:val="center"/>
          </w:tcPr>
          <w:p>
            <w:pPr>
              <w:pStyle w:val="TableContents"/>
              <w:spacing w:before="0" w:after="1"/>
              <w:ind w:left="0" w:right="0" w:hanging="0"/>
              <w:rPr/>
            </w:pPr>
            <w:r>
              <w:rPr/>
              <w:t>​</w:t>
            </w:r>
          </w:p>
        </w:tc>
        <w:tc>
          <w:tcPr>
            <w:tcW w:w="142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2022</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aa.</w:t>
      </w:r>
      <w:r>
        <w:rPr>
          <w:rFonts w:ascii="Times New Roman;Times;serif" w:hAnsi="Times New Roman;Times;serif"/>
          <w:b/>
          <w:sz w:val="20"/>
        </w:rPr>
        <w:t>New standards and interpretations not yet adopted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Up to the date of issue of these financial statements, the IASB has issued a number of amendments and a new standard, IFRS 17, Insurance contracts, which are not yet effective for the year ended December 31, 2022 and which have not been adopted in these financial statements.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491"/>
        <w:gridCol w:w="326"/>
        <w:gridCol w:w="1388"/>
      </w:tblGrid>
      <w:tr>
        <w:trPr/>
        <w:tc>
          <w:tcPr>
            <w:tcW w:w="8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391785" cy="175260"/>
                      <wp:effectExtent l="0" t="0" r="0" b="0"/>
                      <wp:wrapNone/>
                      <wp:docPr id="185" name="Frame184"/>
                      <a:graphic xmlns:a="http://schemas.openxmlformats.org/drawingml/2006/main">
                        <a:graphicData uri="http://schemas.microsoft.com/office/word/2010/wordprocessingShape">
                          <wps:wsp>
                            <wps:cNvSpPr txBox="1"/>
                            <wps:spPr>
                              <a:xfrm>
                                <a:off x="0" y="0"/>
                                <a:ext cx="539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81380" cy="175260"/>
                      <wp:effectExtent l="0" t="0" r="0" b="0"/>
                      <wp:wrapNone/>
                      <wp:docPr id="187" name="Frame186"/>
                      <a:graphic xmlns:a="http://schemas.openxmlformats.org/drawingml/2006/main">
                        <a:graphicData uri="http://schemas.microsoft.com/office/word/2010/wordprocessingShape">
                          <wps:wsp>
                            <wps:cNvSpPr txBox="1"/>
                            <wps:spPr>
                              <a:xfrm>
                                <a:off x="0" y="0"/>
                                <a:ext cx="881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8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Application</w:t>
            </w:r>
          </w:p>
        </w:tc>
      </w:tr>
      <w:tr>
        <w:trPr/>
        <w:tc>
          <w:tcPr>
            <w:tcW w:w="8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for the</w:t>
            </w:r>
          </w:p>
        </w:tc>
      </w:tr>
      <w:tr>
        <w:trPr/>
        <w:tc>
          <w:tcPr>
            <w:tcW w:w="8491" w:type="dxa"/>
            <w:tcBorders>
              <w:bottom w:val="single" w:sz="2" w:space="0" w:color="000000"/>
            </w:tcBorders>
            <w:shd w:fill="auto" w:val="clear"/>
            <w:tcMar>
              <w:bottom w:w="28" w:type="dxa"/>
            </w:tcM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Standard/Interpretation</w:t>
            </w:r>
          </w:p>
        </w:tc>
        <w:tc>
          <w:tcPr>
            <w:tcW w:w="326" w:type="dxa"/>
            <w:tcBorders/>
            <w:shd w:fill="auto" w:val="clear"/>
            <w:vAlign w:val="center"/>
          </w:tcPr>
          <w:p>
            <w:pPr>
              <w:pStyle w:val="TableContents"/>
              <w:spacing w:before="0" w:after="1"/>
              <w:ind w:left="0" w:right="0" w:hanging="0"/>
              <w:jc w:val="center"/>
              <w:rPr/>
            </w:pPr>
            <w:r>
              <w:rPr/>
              <w:t>​</w:t>
            </w:r>
          </w:p>
        </w:tc>
        <w:tc>
          <w:tcPr>
            <w:tcW w:w="138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Group</w:t>
            </w:r>
          </w:p>
        </w:tc>
      </w:tr>
      <w:tr>
        <w:trPr/>
        <w:tc>
          <w:tcPr>
            <w:tcW w:w="84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IFRS 17, Insurance Contracts and Amendments to Address Concerns and Implementation Challenges</w:t>
            </w:r>
          </w:p>
        </w:tc>
        <w:tc>
          <w:tcPr>
            <w:tcW w:w="326" w:type="dxa"/>
            <w:tcBorders/>
            <w:shd w:fill="CCEEFF" w:val="clear"/>
            <w:vAlign w:val="center"/>
          </w:tcPr>
          <w:p>
            <w:pPr>
              <w:pStyle w:val="TableContents"/>
              <w:spacing w:before="0" w:after="1"/>
              <w:ind w:left="0" w:right="0" w:hanging="0"/>
              <w:rPr/>
            </w:pPr>
            <w:r>
              <w:rPr/>
              <w:t>​</w:t>
            </w:r>
          </w:p>
        </w:tc>
        <w:tc>
          <w:tcPr>
            <w:tcW w:w="138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IFRS 4, Expiry Date of the Deferral Approach</w:t>
            </w:r>
          </w:p>
        </w:tc>
        <w:tc>
          <w:tcPr>
            <w:tcW w:w="326" w:type="dxa"/>
            <w:tcBorders/>
            <w:shd w:fill="auto" w:val="clear"/>
            <w:vAlign w:val="center"/>
          </w:tcPr>
          <w:p>
            <w:pPr>
              <w:pStyle w:val="TableContents"/>
              <w:spacing w:before="0" w:after="1"/>
              <w:ind w:left="0" w:right="0" w:hanging="0"/>
              <w:rPr/>
            </w:pPr>
            <w:r>
              <w:rPr/>
              <w:t>​</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1, Making Materiality Judgement</w:t>
            </w:r>
          </w:p>
        </w:tc>
        <w:tc>
          <w:tcPr>
            <w:tcW w:w="326" w:type="dxa"/>
            <w:tcBorders/>
            <w:shd w:fill="CCEEFF" w:val="clear"/>
            <w:vAlign w:val="center"/>
          </w:tcPr>
          <w:p>
            <w:pPr>
              <w:pStyle w:val="TableContents"/>
              <w:spacing w:before="0" w:after="1"/>
              <w:ind w:left="0" w:right="0" w:hanging="0"/>
              <w:rPr/>
            </w:pPr>
            <w:r>
              <w:rPr/>
              <w:t>​</w:t>
            </w:r>
          </w:p>
        </w:tc>
        <w:tc>
          <w:tcPr>
            <w:tcW w:w="138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1 and IFRS Practice Statement 2, Disclosure of Accounting Policies</w:t>
            </w:r>
          </w:p>
        </w:tc>
        <w:tc>
          <w:tcPr>
            <w:tcW w:w="326" w:type="dxa"/>
            <w:tcBorders/>
            <w:shd w:fill="auto" w:val="clear"/>
            <w:vAlign w:val="center"/>
          </w:tcPr>
          <w:p>
            <w:pPr>
              <w:pStyle w:val="TableContents"/>
              <w:spacing w:before="0" w:after="1"/>
              <w:ind w:left="0" w:right="0" w:hanging="0"/>
              <w:rPr/>
            </w:pPr>
            <w:r>
              <w:rPr/>
              <w:t>​</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8, Definition of Accounting Estimates</w:t>
            </w:r>
          </w:p>
        </w:tc>
        <w:tc>
          <w:tcPr>
            <w:tcW w:w="326" w:type="dxa"/>
            <w:tcBorders/>
            <w:shd w:fill="CCEEFF" w:val="clear"/>
            <w:vAlign w:val="center"/>
          </w:tcPr>
          <w:p>
            <w:pPr>
              <w:pStyle w:val="TableContents"/>
              <w:spacing w:before="0" w:after="1"/>
              <w:ind w:left="0" w:right="0" w:hanging="0"/>
              <w:rPr/>
            </w:pPr>
            <w:r>
              <w:rPr/>
              <w:t>​</w:t>
            </w:r>
          </w:p>
        </w:tc>
        <w:tc>
          <w:tcPr>
            <w:tcW w:w="138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12, Deferred Tax related to Assets and Liabilities arising from a Single Transaction</w:t>
            </w:r>
          </w:p>
        </w:tc>
        <w:tc>
          <w:tcPr>
            <w:tcW w:w="326" w:type="dxa"/>
            <w:tcBorders/>
            <w:shd w:fill="auto" w:val="clear"/>
            <w:vAlign w:val="center"/>
          </w:tcPr>
          <w:p>
            <w:pPr>
              <w:pStyle w:val="TableContents"/>
              <w:spacing w:before="0" w:after="1"/>
              <w:ind w:left="0" w:right="0" w:hanging="0"/>
              <w:rPr/>
            </w:pPr>
            <w:r>
              <w:rPr/>
              <w:t>​</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Initial Application of IFRS 17 and IFRS 9—Comparative Information</w:t>
            </w:r>
          </w:p>
        </w:tc>
        <w:tc>
          <w:tcPr>
            <w:tcW w:w="326" w:type="dxa"/>
            <w:tcBorders/>
            <w:shd w:fill="CCEEFF" w:val="clear"/>
            <w:vAlign w:val="center"/>
          </w:tcPr>
          <w:p>
            <w:pPr>
              <w:pStyle w:val="TableContents"/>
              <w:spacing w:before="0" w:after="1"/>
              <w:ind w:left="0" w:right="0" w:hanging="0"/>
              <w:rPr/>
            </w:pPr>
            <w:r>
              <w:rPr/>
              <w:t>​</w:t>
            </w:r>
          </w:p>
        </w:tc>
        <w:tc>
          <w:tcPr>
            <w:tcW w:w="138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2023</w:t>
            </w:r>
          </w:p>
        </w:tc>
      </w:tr>
      <w:tr>
        <w:trPr/>
        <w:tc>
          <w:tcPr>
            <w:tcW w:w="84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1, Classification of Liabilities as Current or Non-current and Disclosure of Accounting Policies</w:t>
            </w:r>
          </w:p>
        </w:tc>
        <w:tc>
          <w:tcPr>
            <w:tcW w:w="326" w:type="dxa"/>
            <w:tcBorders/>
            <w:shd w:fill="auto" w:val="clear"/>
            <w:vAlign w:val="center"/>
          </w:tcPr>
          <w:p>
            <w:pPr>
              <w:pStyle w:val="TableContents"/>
              <w:spacing w:before="0" w:after="1"/>
              <w:ind w:left="0" w:right="0" w:hanging="0"/>
              <w:rPr/>
            </w:pPr>
            <w:r>
              <w:rPr/>
              <w:t>​</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2024</w:t>
            </w:r>
          </w:p>
        </w:tc>
      </w:tr>
      <w:tr>
        <w:trPr/>
        <w:tc>
          <w:tcPr>
            <w:tcW w:w="84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IAS 1, Classification of Debt with Covenants</w:t>
            </w:r>
          </w:p>
        </w:tc>
        <w:tc>
          <w:tcPr>
            <w:tcW w:w="326" w:type="dxa"/>
            <w:tcBorders/>
            <w:shd w:fill="CCEEFF" w:val="clear"/>
            <w:vAlign w:val="center"/>
          </w:tcPr>
          <w:p>
            <w:pPr>
              <w:pStyle w:val="TableContents"/>
              <w:spacing w:before="0" w:after="1"/>
              <w:ind w:left="0" w:right="0" w:hanging="0"/>
              <w:rPr/>
            </w:pPr>
            <w:r>
              <w:rPr/>
              <w:t>​</w:t>
            </w:r>
          </w:p>
        </w:tc>
        <w:tc>
          <w:tcPr>
            <w:tcW w:w="138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2024</w:t>
            </w:r>
          </w:p>
        </w:tc>
      </w:tr>
      <w:tr>
        <w:trPr/>
        <w:tc>
          <w:tcPr>
            <w:tcW w:w="84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Amendments to IFRS 16, Subsequent Measurement of Sale and Leaseback Transactions by a Seller-lessee</w:t>
            </w:r>
          </w:p>
        </w:tc>
        <w:tc>
          <w:tcPr>
            <w:tcW w:w="326" w:type="dxa"/>
            <w:tcBorders/>
            <w:shd w:fill="auto" w:val="clear"/>
            <w:vAlign w:val="center"/>
          </w:tcPr>
          <w:p>
            <w:pPr>
              <w:pStyle w:val="TableContents"/>
              <w:spacing w:before="0" w:after="1"/>
              <w:ind w:left="0" w:right="0" w:hanging="0"/>
              <w:rPr/>
            </w:pPr>
            <w:r>
              <w:rPr/>
              <w:t>​</w:t>
            </w:r>
          </w:p>
        </w:tc>
        <w:tc>
          <w:tcPr>
            <w:tcW w:w="138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 2024</w:t>
            </w:r>
          </w:p>
        </w:tc>
      </w:tr>
    </w:tbl>
    <w:p>
      <w:pPr>
        <w:pStyle w:val="TextBody"/>
        <w:spacing w:before="0" w:after="24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is in the process of making an assessment of what the impact of these new and amended standards and interpretations would be in the period of initial application. So far, the Group has concluded that the adoption of these standards and interpretations is unlikely to have a significant impact on the Group’s financial position.</w:t>
      </w:r>
    </w:p>
    <w:p>
      <w:pPr>
        <w:pStyle w:val="TextBody"/>
        <w:spacing w:before="0" w:after="0"/>
        <w:ind w:left="0" w:right="0" w:hanging="0"/>
        <w:rPr/>
      </w:pPr>
      <w:r>
        <w:rPr/>
        <w:t>​</w:t>
      </w:r>
    </w:p>
    <w:p>
      <w:pPr>
        <w:pStyle w:val="Normal"/>
        <w:spacing w:before="0" w:after="0"/>
        <w:rPr>
          <w:sz w:val="4"/>
          <w:szCs w:val="4"/>
        </w:rPr>
      </w:pPr>
      <w:r>
        <w:rPr>
          <w:sz w:val="4"/>
          <w:szCs w:val="4"/>
        </w:rPr>
      </w:r>
      <w:bookmarkStart w:id="857" w:name="_Hlk132129968"/>
      <w:bookmarkStart w:id="858" w:name="_Hlk132129968"/>
      <w:bookmarkEnd w:id="858"/>
    </w:p>
    <w:tbl>
      <w:tblPr>
        <w:tblW w:w="4007" w:type="dxa"/>
        <w:jc w:val="left"/>
        <w:tblInd w:w="0" w:type="dxa"/>
        <w:tblCellMar>
          <w:top w:w="0" w:type="dxa"/>
          <w:left w:w="0" w:type="dxa"/>
          <w:bottom w:w="0" w:type="dxa"/>
          <w:right w:w="0" w:type="dxa"/>
        </w:tblCellMar>
      </w:tblPr>
      <w:tblGrid>
        <w:gridCol w:w="271"/>
        <w:gridCol w:w="373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3.</w:t>
            </w:r>
          </w:p>
        </w:tc>
        <w:tc>
          <w:tcPr>
            <w:tcW w:w="373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USE OF JUDGMENTS AND ESTIMATES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Estimates and judgments are continuously evaluated and are based on historical experience and other factors, including expectations of future events that are believed to be reasonable under the circumstances.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makes estimates and assumptions concerning the future. The resulting accounting estimates may not be equal to the related actual results. The estimates and assumptions that have a significant risk of causing a material adjustment to the carrying amounts of assets and liabilities within the next financial year are discussed below.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Depreciation of mining machines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on the Group’s mining machines is calculated using the straight-line method to allocate costs up to residual values over the estimated useful lives of the assets. The Group reviews the useful lives and residual values at least at each financial year-end and adjusted, if appropriate, to ensure that the method and rates of depreciation are consistent with the expected pattern of realization of economic benefits from mining machines. The Group estimates the useful lives of mining machines based on historical experience, taking into account anticipated technological changes. If there are significant changes from previously estimated useful lives, the amount of depreciation expenses may change.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useful life of mining machines is changed from one year to one to two years as a result of the review conducted in July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Cryptocurrency accounting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cryptocurrency market is still a new market and is highly volatile and historical prices are not necessarily indicative of future value. A significant change in the market prices for cryptocurrencies would have a significant impact on the Group’s earnings and financial position.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If circumstances indicate that the carrying amount of cryptocurrencies other than USDC may not be recoverable, the assets may be considered “impaired”, and an impairment loss may be recognized in accordance with the accounting policy for impairment of cryptocurrencies other than USDC as described in Note 2(u).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When such a decline has occurred, the carrying amount is reduced to the recoverable amount. The recoverable amount is based on the fair value less costs of disposal. Furthermore, for USDC, the carrying balance of USDC at the date of the consolidated statements of financial position is adjusted to its fair value with changes recorded through profit or 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cryptocurrencies is measured at quoted price at the time the fair value of cryptocurrencies is being measured, which the Group considers to be predominantly a Level 1 fair value input under IFRS 13 Fair Value Measurement fair value hierarchy. The fair value measurement of the cryptocurrencies lent or invested and the embedded derivatives related to cryptocurrency lending arrangements and cryptocurrency-denoted wealth management product purchases are discussed in Note 4. Changes in these estimates could have a significant impact on the amount of the assets and could result in additional impairment charges or reversal of impairment and gain or loss from changes in fair value in future periods.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the cryptocurrency receivables recognized for the cryptocurrency lending or wealth management products, the Group evaluates the expected credit losses on such receivables by considering both internal and external, quantitative and qualitative factors and utilizing the general expected credit losses model as described in Note 2(u).</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from the proprietary mining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currently no specific definitive guidance in IFRS or alternative accounting frameworks for the accounting for the revenue from the proprietary mining business. The Group’s management has exercised significant judgment in determining appropriate accounting treatment for the recognition of revenue from the proprietary mining business. Management has examined various factors surrounding the substance of the Group’s operations, such as the reliability of the measurement of the cryptocurrencies received.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 expense, deferred tax assets and liabilities, and reserves for uncertain tax positions reflect management’s best assessment of estimated future taxes to be paid. The Group is subject to income taxes in Singapore and numerous other jurisdictions. Significant judgments and estimates are required in determining the income tax expense.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determining the current income tax provision, management assesses temporary differences resulting from differing treatments of items for tax and accounting purposes. These differences result in deferred tax assets and liabilities, which are recorded in the consolidated statements of financial position. When management assesses deductible temporary differences, including those originating from tax losses carried forward, management must assess the probability that these will be recovered through adjustments to future taxable income. To the extent the management believes recovery is not probable, no deferred tax asset is recognized.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Forecasting future income requires the use of a significant amount of judgment. In estimating future income, management uses internal operating budgets and long-range planning projections. Management develops its budgets and long-range projections based on recent results, trends and economic and industry forecasts influencing the Group’s performance. Significant changes in management’s judgment related to the expected realizability of deductible temporary differences result in an adjustment to the associated deferred tax asset.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calculation of income tax expense involves dealing with uncertainties in the application of complex tax laws and regulations in numerous jurisdictions in which the Group operates. Management recognizes tax benefits related to uncertain tax positions when, in management’s judgment, it is more likely than not that such positions will be sustained on examination, including resolutions of any related appeals or litigation, based on the technical merits. Management adjusts liabilities for uncertain tax positions when its judgment changes as a result of new information previously unavailable.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Share-based payments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determination of the fair value of the Group’s ordinary shares and the share awards granted under the 2021 Share Incentive Plan involves significant judgment and estimates. The Group determined the fair value of the share awards using the Binomial option valuation model. Estimates such as stock price, volatility of the Group’s ordinary shares, risk-free interest rate, exercise multiple and the expected dividend yield were used in the valuation model.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determined the fair value of the Group’s ordinary shares, or the stock price, used in the determination of the fair value of the share awards, using the discounted cash flow model. Estimates such as the Group’s stage of development, financial condition and operating results, general market conditions and the lack of marketability of the Group’s ordinary shares were used in the valuation model.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Group’s ordinary shares and the share awards were determined by the Group with the assistance of an independent third-party valuation firm.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assets at fair value through profit or 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measurements are categorized into Level 1, 2 or 3 based on the degree to which the inputs to the fair value measurements are observable and the significance of the inputs to the fair value measurement in its entirety. The type and level of judgment required is dependent on the amount of observable market-based data available to the Group. For financial assets valued using valuation models and techniques that use significant unobservable inputs and are therefore classified within level 3 of the fair value hierarchy, judgments used to estimate fair value are more significant than those required when estimating the fair value of instruments classified within levels 1 and 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determining the estimate of fair value for an instrument within level 3, the management firstly determines the appropriate and reasonable valuation model and technique to use. Second, the lack of availability of market-based data requires management to assess relevant empirical data in deriving valuation inputs with significant judgements and assumption. Details of the significant unobservable inputs used in the level 3 valuation are presented in Note 4.</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Estimation of unobservable market inputs or other factors can affect the amount of gain or loss recorded in the reporting period and the amount of the position as at year end. The Group believes the estimates applied to be based on reasonable assumptions, but which are inherently uncertain. As a result, actual results may differ from the assumptions and judgments used to determine fair value of the financial instruments acquired. Changes in these estimates and assumptions and valuation model or techniques may have a material effect on the Group’s financial condition and results of operations.</w:t>
      </w:r>
    </w:p>
    <w:p>
      <w:pPr>
        <w:pStyle w:val="TextBody"/>
        <w:spacing w:before="0" w:after="240"/>
        <w:ind w:left="0" w:right="0" w:firstLine="36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Assessment of the asset acquisition</w:t>
      </w:r>
    </w:p>
    <w:p>
      <w:pPr>
        <w:pStyle w:val="TextBody"/>
        <w:spacing w:before="0" w:after="24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acquisition of Asia Freeport Holdings Pte. Ltd. was assessed as an asset acquisition by applying the optional concentration test described In Note 2(y). Management applied judgment in identifying the assets acquired, their relative fair value, and if the “substantially all” criterion has been met, based on the previous elements.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To apply the optional concentration test, the Group estimated the fair value of investment properties at the closing date using the discounted cash flow model under the income approach with the assistance of an independent valuation specialist. The key input to the model used for determining the value of the investment properties include the operation projection and the discount rate, which is 7.75%.</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FINANCIAL RISK MANAGEMENT AND FAIR VALUES OF FINANCIAL INSTRUMENTS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Financial risk factors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is exposed to various market risks including cryptocurrency risk, interest rate risk, investment risk and foreign currency risk, as well as credit risk and liquidity risk. The Group has designed and implemented various risk management strategies, discussed further below, to ensure the exposure to these risks is consistent with its risk tolerance and business objectives.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1446" w:type="dxa"/>
        <w:jc w:val="left"/>
        <w:tblInd w:w="0" w:type="dxa"/>
        <w:tblCellMar>
          <w:top w:w="28" w:type="dxa"/>
          <w:left w:w="28" w:type="dxa"/>
          <w:bottom w:w="28" w:type="dxa"/>
          <w:right w:w="28" w:type="dxa"/>
        </w:tblCellMar>
      </w:tblPr>
      <w:tblGrid>
        <w:gridCol w:w="124"/>
        <w:gridCol w:w="241"/>
        <w:gridCol w:w="1081"/>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a.</w:t>
            </w:r>
          </w:p>
        </w:tc>
        <w:tc>
          <w:tcPr>
            <w:tcW w:w="1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Market risk</w:t>
            </w:r>
          </w:p>
        </w:tc>
      </w:tr>
    </w:tbl>
    <w:p>
      <w:pPr>
        <w:pStyle w:val="TextBody"/>
        <w:ind w:left="1080" w:right="0" w:hanging="0"/>
        <w:jc w:val="both"/>
        <w:rPr>
          <w:rFonts w:ascii="Times New Roman;Times;serif" w:hAnsi="Times New Roman;Times;serif"/>
          <w:color w:val="231F20"/>
          <w:sz w:val="20"/>
        </w:rPr>
      </w:pPr>
      <w:r>
        <w:rPr>
          <w:rFonts w:ascii="Times New Roman;Times;serif" w:hAnsi="Times New Roman;Times;serif"/>
          <w:color w:val="231F20"/>
          <w:sz w:val="20"/>
        </w:rPr>
        <w:t>i.Cryptocurrency risk</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is exposed to cryptocurrency risk as it yields cryptocurrencies from certain revenue arrangements. The Group recognizes revenue based on the spot fair value of cryptocurrencies on the day they are earned, but the value of the cryptocurrencies is subject to change on the date they are disposed of for fiat currency.</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Cryptocurrency prices are affected by various forces including global supply and demand, interest rates, exchange rates, inflation or deflation and the global political and economic conditions. The profitability of the Group is highly correlated to the current and future market price of cryptocurrencies and a decline in the market prices for cryptocurrencies could negatively impact the Group’s future operations. In addition, the Group may not be able to liquidate its holdings of cryptocurrencies at its desired price if required, or, in extreme market conditions, the Group may not be able to liquidate its holdings of cryptocurrencies at all.</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Cryptocurrencies have a limited history, and the fair value of cryptocurrencies has been very volatile. The historical performance of cryptocurrencies is not indicative of their future price performance. The cryptocurrencies involved in the Group’s operation are currently primarily based on bitcoin and USDT. The Group currently does not use any derivative contracts to hedge its exposure to cryptocurrency risk, but management closely monitors the impact of the mainstream cryptocurrency exchange market on the change of exchange rates from cryptocurrency to fiat currency. The Group limits its exposure to the cryptocurrency risk by including in its operation strategy to dispose of the cryptocurrencies for fiat currency shortly after they are earned.</w:t>
      </w:r>
    </w:p>
    <w:p>
      <w:pPr>
        <w:pStyle w:val="TextBody"/>
        <w:ind w:left="1080" w:right="0" w:hanging="0"/>
        <w:jc w:val="both"/>
        <w:rPr>
          <w:rFonts w:ascii="Times New Roman;Times;serif" w:hAnsi="Times New Roman;Times;serif"/>
          <w:color w:val="231F20"/>
          <w:sz w:val="20"/>
        </w:rPr>
      </w:pPr>
      <w:r>
        <w:rPr>
          <w:rFonts w:ascii="Times New Roman;Times;serif" w:hAnsi="Times New Roman;Times;serif"/>
          <w:color w:val="231F20"/>
          <w:sz w:val="20"/>
        </w:rPr>
        <w:t>ii.Interest rate risk</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Group’s interest rate risk is primarily attributable to bank deposits, restricted cash and borrowings. Bank deposits, restricted cash and borrowings at variable rates and fixed rates expose the Group to cash flow interest rate risk and fair value interest rate risk respectively. Management closely monitors the fluctuation of such rates periodically.</w:t>
      </w:r>
    </w:p>
    <w:p>
      <w:pPr>
        <w:pStyle w:val="TextBody"/>
        <w:ind w:left="1080" w:right="0" w:hanging="0"/>
        <w:jc w:val="both"/>
        <w:rPr>
          <w:rFonts w:ascii="Times New Roman;Times;serif" w:hAnsi="Times New Roman;Times;serif"/>
          <w:color w:val="231F20"/>
          <w:sz w:val="20"/>
        </w:rPr>
      </w:pPr>
      <w:r>
        <w:rPr>
          <w:rFonts w:ascii="Times New Roman;Times;serif" w:hAnsi="Times New Roman;Times;serif"/>
          <w:color w:val="231F20"/>
          <w:sz w:val="20"/>
        </w:rPr>
        <w:t>iii.Investment risk</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is exposed to investment risk from investment transactions such as the purchase of cryptocurrency-denoted wealth management products and investment in financial assets at fair value through profit or loss. These investments are not principal-guaranteed, and the Group may suffer material loss from such investments. The Group monitors its investments closely and limits its exposure to the investment risk by including in its operation strategy the requirements to, with regard to the purchase of cryptocurrency-denoted wealth management products, invest only in robust wealth management products and the investments need to be redeemed within the same fiscal quarter, and, with regard to the investment in financial assets at fair value through profit or loss, perform due diligence on the prospect investees to evaluate the business soundness before making an investment, and communicate regularly with the investee, review management report and the latest financial statements, if any, to evaluate the stage of investment and whether any action should be taken regarding the investment.</w:t>
      </w:r>
    </w:p>
    <w:p>
      <w:pPr>
        <w:pStyle w:val="TextBody"/>
        <w:ind w:left="1080" w:right="0" w:hanging="0"/>
        <w:jc w:val="both"/>
        <w:rPr>
          <w:rFonts w:ascii="Times New Roman;Times;serif" w:hAnsi="Times New Roman;Times;serif"/>
          <w:color w:val="231F20"/>
          <w:sz w:val="20"/>
        </w:rPr>
      </w:pPr>
      <w:r>
        <w:rPr>
          <w:rFonts w:ascii="Times New Roman;Times;serif" w:hAnsi="Times New Roman;Times;serif"/>
          <w:color w:val="231F20"/>
          <w:sz w:val="20"/>
        </w:rPr>
        <w:t>iv.Foreign currency risk</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is exposed to foreign currency risk as it conducts transactions which give rise to payables and cash balances that are denominated in foreign currencies and the fair value or future cash flows of the Group’s financial instrument may fluctuate due to movement in foreign exchange rates of these foreign currencies. The volatility of exchange rates depends on many factors that the Group is not able to accurately forecast. Management is closely monitoring the Group’s exposure to currency risk and seeks to minimize its exposure to such risk. The Group was not exposed to material foreign currency risk during the years ended December 31, 2020,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1386" w:type="dxa"/>
        <w:jc w:val="left"/>
        <w:tblInd w:w="0" w:type="dxa"/>
        <w:tblCellMar>
          <w:top w:w="28" w:type="dxa"/>
          <w:left w:w="28" w:type="dxa"/>
          <w:bottom w:w="28" w:type="dxa"/>
          <w:right w:w="28" w:type="dxa"/>
        </w:tblCellMar>
      </w:tblPr>
      <w:tblGrid>
        <w:gridCol w:w="124"/>
        <w:gridCol w:w="256"/>
        <w:gridCol w:w="1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b.</w:t>
            </w:r>
          </w:p>
        </w:tc>
        <w:tc>
          <w:tcPr>
            <w:tcW w:w="1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Credit risk</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Credit risk refers to the risk that a counterparty will default on its contractual obligations resulting in a financial loss to the Group. Credit risk arises mainly from cash deposited in the banks and cryptocurrencies held in custody, cryptocurrency lending transactions and cryptocurrency-denoted wealth management product purchases.</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To manage risk arising from cash, cash equivalents and restricted cash, the Group only transacts with reputable financial institutions. There has been no recent history of default in relation to these financial institutions.</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For the years ended December 31, 2020, 2021 and 2022, substantially all of the Group’s cryptocurrencies are stored in wallets held in the custody of Matrix Finance and Technologies Holding Company (“Matrixport Group”), a related party. To limit exposure to credit risk relating to cryptocurrencies under custody, the Group evaluates the system security design of the custody service provider and regularly reviews the exposure of cryptocurrencies held in custody. The Group has further implemented internal controls to ensure the appropriate access to the cryptocurrencies under custody and adopted the operating strategy of disposing of the cryptocurrency for fiat currency shortly after they are earned. The Group expects that there is no significant credit risk from non-performance by Matrixport Group. </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However, bitcoin and other blockchain-based cryptocurrencies have been, and may in the future be, subject to security breaches, cyberattacks, or other malicious activities. A successful security breach or cyberattack could result in a partial or total loss of the Group’s cryptocurrencies and such a loss could have a material adverse effect on the Group’s financial condition and results of operations.</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also has credit exposure to cryptocurrency lending transactions and cryptocurrency-denoted wealth management product purchases. The Group assesses such credit risk both at contract inception and each quarter or in shorter interval by considering the past collection experience and any indications that the corresponding amount may not be fully collected. To manage such exposure, the Group continuously monitors the relevant factors, such as the liquidity of the underlying cryptocurrencies, negative report related to the counterparty, and deals only with creditworthy counterparties and includes in its operation strategy that the lending needs to be collected, and the wealth management products need to be redeemed within the same fiscal quarter. Currently, the Group only conducts such transactions with the Matrixport Group. The Group has never experienced credit losses and has no existing exposures to such credit risk as of each end date of the consolidated statement of financial position. Consequently, credit exposure to these transactions is not considered material.</w:t>
      </w:r>
    </w:p>
    <w:tbl>
      <w:tblPr>
        <w:tblW w:w="1641" w:type="dxa"/>
        <w:jc w:val="left"/>
        <w:tblInd w:w="0" w:type="dxa"/>
        <w:tblCellMar>
          <w:top w:w="28" w:type="dxa"/>
          <w:left w:w="28" w:type="dxa"/>
          <w:bottom w:w="28" w:type="dxa"/>
          <w:right w:w="28" w:type="dxa"/>
        </w:tblCellMar>
      </w:tblPr>
      <w:tblGrid>
        <w:gridCol w:w="124"/>
        <w:gridCol w:w="241"/>
        <w:gridCol w:w="1276"/>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c.</w:t>
            </w:r>
          </w:p>
        </w:tc>
        <w:tc>
          <w:tcPr>
            <w:tcW w:w="1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Liquidity risk</w:t>
            </w:r>
          </w:p>
        </w:tc>
      </w:tr>
    </w:tbl>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Liquidity risk arises in situations where the Group has difficulties in fulfilling financial liabilities when they become due.</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0"/>
        </w:rPr>
        <w:t>Prudent liquidity risk management implies maintaining sufficient cash in order to meet the Group’s financial obligations. The Group manages its liquidity risk by monitoring cash flow generated from operations and available borrowing capacity, and by managing the maturity profiles of its long-term loans.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1440" w:right="0" w:hanging="0"/>
        <w:jc w:val="both"/>
        <w:rPr>
          <w:rFonts w:ascii="Times New Roman;Times;serif" w:hAnsi="Times New Roman;Times;serif"/>
          <w:sz w:val="20"/>
        </w:rPr>
      </w:pPr>
      <w:bookmarkStart w:id="859" w:name="Tc_p2auSQ2VxkGcj_3OtFe9jA_11_0"/>
      <w:bookmarkStart w:id="860" w:name="Tc_fCCQ6m_MDEuotPsMCAGMjA_10_8"/>
      <w:bookmarkStart w:id="861" w:name="Tc_JKJ7LC4roUK9tILuK97dEw_10_6"/>
      <w:bookmarkStart w:id="862" w:name="Tc_X1nsRSHEPkKxMbIjaAyQEQ_10_4"/>
      <w:bookmarkStart w:id="863" w:name="Tc_bICwc--kbUmiHAzDIOtAjg_10_0"/>
      <w:bookmarkStart w:id="864" w:name="Tc_tW-LRtCgC0u4OcyPdnnHJw_9_8"/>
      <w:bookmarkStart w:id="865" w:name="Tc_fWJYqsGeQUOWYuZHR_vPlQ_9_6"/>
      <w:bookmarkStart w:id="866" w:name="Tc_ktfDJ59I2EOqkLUODM1j4w_9_4"/>
      <w:bookmarkStart w:id="867" w:name="Tc_WK4Vm_x2u02C2n2OVbbgkQ_9_0"/>
      <w:bookmarkStart w:id="868" w:name="Tc_66ml5NGZTUy_9S9Q1BZbAA_8_8"/>
      <w:bookmarkStart w:id="869" w:name="Tc__jo2HKIp-02hq6kIcNjbuQ_8_6"/>
      <w:bookmarkStart w:id="870" w:name="Tc_1UXnrCIz_UWoLWyCo1YSHw_8_4"/>
      <w:bookmarkStart w:id="871" w:name="Tc_gaAbINOsB0WbpUVbFYeuwA_8_0"/>
      <w:bookmarkStart w:id="872" w:name="Tc_Q2Y0t5lysUSOdEoC2gCmLQ_7_8"/>
      <w:bookmarkStart w:id="873" w:name="Tc_igOnRZumiUWGE4kVdF2OcQ_7_6"/>
      <w:bookmarkStart w:id="874" w:name="Tc_fsc4TX5-jkOhjOsy7Sx1RQ_7_4"/>
      <w:bookmarkStart w:id="875" w:name="Tc_MjmVQ5MWH0mPBC4tKbkozg_7_0"/>
      <w:bookmarkStart w:id="876" w:name="Tc_yfB8_SlCYkKJ-6g1uD4VEQ_6_12"/>
      <w:bookmarkStart w:id="877" w:name="Tc_TLRKRyyi5EirUO6QbgAF0w_6_10"/>
      <w:bookmarkStart w:id="878" w:name="Tc_taH3sy5aSEqwT6QN0_6X0Q_6_8"/>
      <w:bookmarkStart w:id="879" w:name="Tc_2DtmqdyZ1kihBjr0k4Mp6A_6_6"/>
      <w:bookmarkStart w:id="880" w:name="Tc_yNwNLPF--EGZkJrnaz2AOg_6_4"/>
      <w:bookmarkStart w:id="881" w:name="Tc_N8hxLYEiyUuRrzmCvNgMnQ_6_2"/>
      <w:bookmarkStart w:id="882" w:name="Tc_K-n8bbeAwUCt5CJkZfP6mQ_6_0"/>
      <w:bookmarkStart w:id="883" w:name="Tc_0kd4WzxcCUKD47WSTPuG7Q_5_12"/>
      <w:bookmarkStart w:id="884" w:name="Tc_T2OmKYCxXE-NtNmYYYN7bw_5_8"/>
      <w:bookmarkStart w:id="885" w:name="Tc_0x8OrgALxkKPNjM7Td_6Cw_5_6"/>
      <w:bookmarkStart w:id="886" w:name="Tc_-nHB8ugbQ0aHeLiiYYoC9w_5_4"/>
      <w:bookmarkStart w:id="887" w:name="Tc_t55XfwD1fUKHCrUSw8hJKg_5_2"/>
      <w:bookmarkStart w:id="888" w:name="Tc_wxWRZ3EGqkuJkUswNo0i3w_4_6"/>
      <w:bookmarkStart w:id="889" w:name="Tc_qgJU6UaOBkKjfvNAH4o0Ww_4_4"/>
      <w:bookmarkStart w:id="890" w:name="Tc_VqpRwYADKEq0MgSgB7N8AA_4_2"/>
      <w:bookmarkStart w:id="891" w:name="Tc_RCDefs04PEaWIw7PG5wjPA_3_6"/>
      <w:bookmarkStart w:id="892" w:name="Tc_F5TDuPzEPUKVl53x5yrLnQ_3_4"/>
      <w:bookmarkStart w:id="893" w:name="Tc_m3skjazhKkC8Afy_R3Hn7w_2_6"/>
      <w:bookmarkStart w:id="894" w:name="Tc_d1uOT5ghZ0Sm-N2ph7zzeQ_1_2"/>
      <w:bookmarkStart w:id="895" w:name="_ef0bb9ca_f795_4887_ab09_7e2caf0b3776"/>
      <w:bookmarkStart w:id="896" w:name="Tc_0stRvaFnCE-xjg2fVuBG7A_11_0"/>
      <w:bookmarkStart w:id="897" w:name="Tc_h0kLkmiGVE6PeRIcP-EEkg_10_8"/>
      <w:bookmarkStart w:id="898" w:name="Tc_EdxnY8r9-EKSGzzvJg0Rzw_10_6"/>
      <w:bookmarkStart w:id="899" w:name="Tc_QzlKGH2EVkyRMxU-f7hHLA_10_2"/>
      <w:bookmarkStart w:id="900" w:name="Tc_nXpOV5gvTEW-ogdLUexowQ_10_0"/>
      <w:bookmarkStart w:id="901" w:name="Tc_zRP1snkYh0WRdfEavSs7Hg_9_8"/>
      <w:bookmarkStart w:id="902" w:name="Tc_2SPlvapfPUSchOdG4yjZXw_9_6"/>
      <w:bookmarkStart w:id="903" w:name="Tc_h8hdZ68lYUWpA8ffr9Fp9w_9_4"/>
      <w:bookmarkStart w:id="904" w:name="Tc_hn1o_e5ER0ue_HyZiI6NxA_9_0"/>
      <w:bookmarkStart w:id="905" w:name="Tc_jNMt0QmpXUWW0EnKdf7bDw_8_8"/>
      <w:bookmarkStart w:id="906" w:name="Tc_qdapJMMrh0mWzYTxP5HjNA_8_6"/>
      <w:bookmarkStart w:id="907" w:name="Tc_TTDffQalE0mFqok1mBk3Fw_8_4"/>
      <w:bookmarkStart w:id="908" w:name="Tc_TBEAyrX9v0262lPqRQuesQ_8_0"/>
      <w:bookmarkStart w:id="909" w:name="Tc_72aYXG9co0ioQz6q7g0gpA_7_8"/>
      <w:bookmarkStart w:id="910" w:name="Tc_kpriAO0Ak0yBa1FKEDztZQ_7_6"/>
      <w:bookmarkStart w:id="911" w:name="Tc_JK7oOMGq-02H7DsKrkVJJQ_7_4"/>
      <w:bookmarkStart w:id="912" w:name="Tc_b6RURkbnv0Oc8QEhoTV_YQ_7_0"/>
      <w:bookmarkStart w:id="913" w:name="Tc_xHFEZuhGKECCs4h_jLisaw_6_12"/>
      <w:bookmarkStart w:id="914" w:name="Tc_0L32kPlJTUKVdg1AbNQBPg_6_10"/>
      <w:bookmarkStart w:id="915" w:name="Tc_URi-somt_kCgTgVaxY1HaQ_6_8"/>
      <w:bookmarkStart w:id="916" w:name="Tc_oAmr81VebUOfo2OEDk8MhQ_6_6"/>
      <w:bookmarkStart w:id="917" w:name="Tc_ya6AwrTFj0S_EORCCLSdOA_6_4"/>
      <w:bookmarkStart w:id="918" w:name="Tc__4W8zQzHfkK1Z6x98eCMOw_6_2"/>
      <w:bookmarkStart w:id="919" w:name="Tc_p5nN9KJEJE6IfqseBFNrvg_6_0"/>
      <w:bookmarkStart w:id="920" w:name="Tc_px1yPon-TkuqXdbVza4u0A_5_12"/>
      <w:bookmarkStart w:id="921" w:name="Tc_wP1RVOVPY0K82-3eL8V8NA_5_8"/>
      <w:bookmarkStart w:id="922" w:name="Tc_3vGpK94Gr0Cv_vDT4i7NZA_5_6"/>
      <w:bookmarkStart w:id="923" w:name="Tc_wfenR9423kWLiDXiax9A6w_5_4"/>
      <w:bookmarkStart w:id="924" w:name="Tc_dl1DBG22HUeGZpK4AdjDVA_5_2"/>
      <w:bookmarkStart w:id="925" w:name="Tc_lRK9YL2sb0G63Ai-35dh8Q_4_6"/>
      <w:bookmarkStart w:id="926" w:name="Tc_DX7MyzJka0yvr24X6rUI7g_4_4"/>
      <w:bookmarkStart w:id="927" w:name="Tc_pMLicX6bzkCmwrNh_BXxBw_4_2"/>
      <w:bookmarkStart w:id="928" w:name="Tc_tPGKkihlfkGVSrPPSRhptw_3_6"/>
      <w:bookmarkStart w:id="929" w:name="Tc_lPOy_EzY5U-yS7JhK4SLzQ_3_4"/>
      <w:bookmarkStart w:id="930" w:name="Tc_ERFHTjnUIUi7UlVw-cuEQg_2_6"/>
      <w:bookmarkStart w:id="931" w:name="Tc_AJ-pHLjW4UKpHFseVNB7IA_1_2"/>
      <w:bookmarkStart w:id="932" w:name="_6ac9a914_b2d3_4612_a8e2_793ba39baf2a"/>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sz w:val="20"/>
        </w:rPr>
        <w:t>The following is the maturity profile of the Group’s financial liabilities based on contractual undiscounted payments:</w:t>
      </w:r>
    </w:p>
    <w:tbl>
      <w:tblPr>
        <w:tblW w:w="10205" w:type="dxa"/>
        <w:jc w:val="left"/>
        <w:tblInd w:w="0" w:type="dxa"/>
        <w:tblCellMar>
          <w:top w:w="0" w:type="dxa"/>
          <w:left w:w="0" w:type="dxa"/>
          <w:bottom w:w="0" w:type="dxa"/>
          <w:right w:w="0" w:type="dxa"/>
        </w:tblCellMar>
      </w:tblPr>
      <w:tblGrid>
        <w:gridCol w:w="2516"/>
        <w:gridCol w:w="326"/>
        <w:gridCol w:w="927"/>
        <w:gridCol w:w="326"/>
        <w:gridCol w:w="868"/>
        <w:gridCol w:w="326"/>
        <w:gridCol w:w="868"/>
        <w:gridCol w:w="326"/>
        <w:gridCol w:w="868"/>
        <w:gridCol w:w="326"/>
        <w:gridCol w:w="781"/>
        <w:gridCol w:w="326"/>
        <w:gridCol w:w="1421"/>
      </w:tblGrid>
      <w:tr>
        <w:trPr/>
        <w:tc>
          <w:tcPr>
            <w:tcW w:w="2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97660" cy="175260"/>
                      <wp:effectExtent l="0" t="0" r="0" b="0"/>
                      <wp:wrapNone/>
                      <wp:docPr id="188" name="Frame187"/>
                      <a:graphic xmlns:a="http://schemas.openxmlformats.org/drawingml/2006/main">
                        <a:graphicData uri="http://schemas.microsoft.com/office/word/2010/wordprocessingShape">
                          <wps:wsp>
                            <wps:cNvSpPr txBox="1"/>
                            <wps:spPr>
                              <a:xfrm>
                                <a:off x="0" y="0"/>
                                <a:ext cx="1597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88645" cy="175260"/>
                      <wp:effectExtent l="0" t="0" r="0" b="0"/>
                      <wp:wrapNone/>
                      <wp:docPr id="190" name="Frame189"/>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51180" cy="175260"/>
                      <wp:effectExtent l="0" t="0" r="0" b="0"/>
                      <wp:wrapNone/>
                      <wp:docPr id="192" name="Frame191"/>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51180" cy="175260"/>
                      <wp:effectExtent l="0" t="0" r="0" b="0"/>
                      <wp:wrapNone/>
                      <wp:docPr id="194" name="Frame193"/>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51180" cy="175260"/>
                      <wp:effectExtent l="0" t="0" r="0" b="0"/>
                      <wp:wrapNone/>
                      <wp:docPr id="196" name="Frame195"/>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95935" cy="175260"/>
                      <wp:effectExtent l="0" t="0" r="0" b="0"/>
                      <wp:wrapNone/>
                      <wp:docPr id="198" name="Frame19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02335" cy="175260"/>
                      <wp:effectExtent l="0" t="0" r="0" b="0"/>
                      <wp:wrapNone/>
                      <wp:docPr id="200" name="Frame199"/>
                      <a:graphic xmlns:a="http://schemas.openxmlformats.org/drawingml/2006/main">
                        <a:graphicData uri="http://schemas.microsoft.com/office/word/2010/wordprocessingShape">
                          <wps:wsp>
                            <wps:cNvSpPr txBox="1"/>
                            <wps:spPr>
                              <a:xfrm>
                                <a:off x="0" y="0"/>
                                <a:ext cx="902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3"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25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pPr>
            <w:r>
              <w:rPr/>
              <w:t>​</w:t>
            </w:r>
          </w:p>
        </w:tc>
      </w:tr>
      <w:tr>
        <w:trPr/>
        <w:tc>
          <w:tcPr>
            <w:tcW w:w="25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 years</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pPr>
            <w:r>
              <w:rPr/>
              <w:t>​</w:t>
            </w:r>
          </w:p>
        </w:tc>
      </w:tr>
      <w:tr>
        <w:trPr/>
        <w:tc>
          <w:tcPr>
            <w:tcW w:w="2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Within 1</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 but</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but less </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pPr>
            <w:r>
              <w:rPr/>
              <w:t>​</w:t>
            </w:r>
          </w:p>
        </w:tc>
      </w:tr>
      <w:tr>
        <w:trPr/>
        <w:tc>
          <w:tcPr>
            <w:tcW w:w="2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or on-</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2</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than 5</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amount</w:t>
            </w:r>
          </w:p>
        </w:tc>
      </w:tr>
      <w:tr>
        <w:trPr/>
        <w:tc>
          <w:tcPr>
            <w:tcW w:w="251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92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demand</w:t>
            </w:r>
          </w:p>
        </w:tc>
        <w:tc>
          <w:tcPr>
            <w:tcW w:w="326" w:type="dxa"/>
            <w:tcBorders/>
            <w:shd w:fill="auto" w:val="clear"/>
            <w:vAlign w:val="center"/>
          </w:tcPr>
          <w:p>
            <w:pPr>
              <w:pStyle w:val="TableContents"/>
              <w:spacing w:before="0" w:after="1"/>
              <w:ind w:left="0" w:right="0" w:hanging="0"/>
              <w:jc w:val="center"/>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1"/>
              <w:ind w:left="0" w:right="0" w:hanging="0"/>
              <w:jc w:val="center"/>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1"/>
              <w:ind w:left="0" w:right="0" w:hanging="0"/>
              <w:jc w:val="center"/>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jc w:val="center"/>
              <w:rPr/>
            </w:pPr>
            <w:r>
              <w:rPr/>
              <w:t>    </w:t>
            </w:r>
          </w:p>
        </w:tc>
        <w:tc>
          <w:tcPr>
            <w:tcW w:w="14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251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Trade payables</w:t>
            </w:r>
          </w:p>
        </w:tc>
        <w:tc>
          <w:tcPr>
            <w:tcW w:w="326" w:type="dxa"/>
            <w:tcBorders/>
            <w:shd w:fill="CCEEFF" w:val="clear"/>
            <w:vAlign w:val="center"/>
          </w:tcPr>
          <w:p>
            <w:pPr>
              <w:pStyle w:val="TableContents"/>
              <w:spacing w:before="0" w:after="1"/>
              <w:ind w:left="0" w:right="0" w:hanging="0"/>
              <w:rPr/>
            </w:pPr>
            <w:r>
              <w:rPr/>
              <w:t> </w:t>
            </w:r>
          </w:p>
        </w:tc>
        <w:tc>
          <w:tcPr>
            <w:tcW w:w="9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17,740</w:t>
            </w:r>
          </w:p>
        </w:tc>
        <w:tc>
          <w:tcPr>
            <w:tcW w:w="326"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17,740</w:t>
            </w:r>
          </w:p>
        </w:tc>
        <w:tc>
          <w:tcPr>
            <w:tcW w:w="326" w:type="dxa"/>
            <w:tcBorders/>
            <w:shd w:fill="CCEEFF" w:val="clear"/>
            <w:vAlign w:val="center"/>
          </w:tcPr>
          <w:p>
            <w:pPr>
              <w:pStyle w:val="TableContents"/>
              <w:spacing w:before="0" w:after="1"/>
              <w:ind w:left="0" w:right="0" w:hanging="0"/>
              <w:rPr/>
            </w:pPr>
            <w:r>
              <w:rPr/>
              <w:t> </w:t>
            </w:r>
          </w:p>
        </w:tc>
        <w:tc>
          <w:tcPr>
            <w:tcW w:w="14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17,740</w:t>
            </w:r>
          </w:p>
        </w:tc>
      </w:tr>
      <w:tr>
        <w:trPr/>
        <w:tc>
          <w:tcPr>
            <w:tcW w:w="251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payables and accruals</w:t>
            </w:r>
          </w:p>
        </w:tc>
        <w:tc>
          <w:tcPr>
            <w:tcW w:w="326" w:type="dxa"/>
            <w:tcBorders/>
            <w:shd w:fill="auto" w:val="clear"/>
            <w:vAlign w:val="center"/>
          </w:tcPr>
          <w:p>
            <w:pPr>
              <w:pStyle w:val="TableContents"/>
              <w:spacing w:before="0" w:after="1"/>
              <w:ind w:left="0" w:right="0" w:hanging="0"/>
              <w:rPr/>
            </w:pPr>
            <w:r>
              <w:rPr/>
              <w:t> </w:t>
            </w:r>
          </w:p>
        </w:tc>
        <w:tc>
          <w:tcPr>
            <w:tcW w:w="9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17,258</w:t>
            </w:r>
          </w:p>
        </w:tc>
        <w:tc>
          <w:tcPr>
            <w:tcW w:w="326"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17,258</w:t>
            </w:r>
          </w:p>
        </w:tc>
        <w:tc>
          <w:tcPr>
            <w:tcW w:w="326" w:type="dxa"/>
            <w:tcBorders/>
            <w:shd w:fill="auto" w:val="clear"/>
            <w:vAlign w:val="center"/>
          </w:tcPr>
          <w:p>
            <w:pPr>
              <w:pStyle w:val="TableContents"/>
              <w:spacing w:before="0" w:after="1"/>
              <w:ind w:left="0" w:right="0" w:hanging="0"/>
              <w:rPr/>
            </w:pPr>
            <w:r>
              <w:rPr/>
              <w:t> </w:t>
            </w:r>
          </w:p>
        </w:tc>
        <w:tc>
          <w:tcPr>
            <w:tcW w:w="1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17,258</w:t>
            </w:r>
          </w:p>
        </w:tc>
      </w:tr>
      <w:tr>
        <w:trPr/>
        <w:tc>
          <w:tcPr>
            <w:tcW w:w="251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 due to a related party</w:t>
            </w:r>
          </w:p>
        </w:tc>
        <w:tc>
          <w:tcPr>
            <w:tcW w:w="326" w:type="dxa"/>
            <w:tcBorders/>
            <w:shd w:fill="CCEEFF" w:val="clear"/>
            <w:vAlign w:val="center"/>
          </w:tcPr>
          <w:p>
            <w:pPr>
              <w:pStyle w:val="TableContents"/>
              <w:spacing w:before="0" w:after="1"/>
              <w:ind w:left="0" w:right="0" w:hanging="0"/>
              <w:rPr/>
            </w:pPr>
            <w:r>
              <w:rPr/>
              <w:t>​</w:t>
            </w:r>
          </w:p>
        </w:tc>
        <w:tc>
          <w:tcPr>
            <w:tcW w:w="9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14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51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Borrowings</w:t>
            </w:r>
          </w:p>
        </w:tc>
        <w:tc>
          <w:tcPr>
            <w:tcW w:w="326" w:type="dxa"/>
            <w:tcBorders/>
            <w:shd w:fill="auto" w:val="clear"/>
            <w:vAlign w:val="center"/>
          </w:tcPr>
          <w:p>
            <w:pPr>
              <w:pStyle w:val="TableContents"/>
              <w:spacing w:before="0" w:after="1"/>
              <w:ind w:left="0" w:right="0" w:hanging="0"/>
              <w:rPr/>
            </w:pPr>
            <w:r>
              <w:rPr/>
              <w:t>​</w:t>
            </w:r>
          </w:p>
        </w:tc>
        <w:tc>
          <w:tcPr>
            <w:tcW w:w="92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29,460</w:t>
            </w:r>
          </w:p>
        </w:tc>
        <w:tc>
          <w:tcPr>
            <w:tcW w:w="326"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29,460</w:t>
            </w:r>
          </w:p>
        </w:tc>
        <w:tc>
          <w:tcPr>
            <w:tcW w:w="326" w:type="dxa"/>
            <w:tcBorders/>
            <w:shd w:fill="auto" w:val="clear"/>
            <w:vAlign w:val="center"/>
          </w:tcPr>
          <w:p>
            <w:pPr>
              <w:pStyle w:val="TableContents"/>
              <w:spacing w:before="0" w:after="1"/>
              <w:ind w:left="0" w:right="0" w:hanging="0"/>
              <w:rPr/>
            </w:pPr>
            <w:r>
              <w:rPr/>
              <w:t>​</w:t>
            </w:r>
          </w:p>
        </w:tc>
        <w:tc>
          <w:tcPr>
            <w:tcW w:w="1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29,460</w:t>
            </w:r>
          </w:p>
        </w:tc>
      </w:tr>
      <w:tr>
        <w:trPr/>
        <w:tc>
          <w:tcPr>
            <w:tcW w:w="251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1"/>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5,489</w:t>
            </w:r>
          </w:p>
        </w:tc>
        <w:tc>
          <w:tcPr>
            <w:tcW w:w="326" w:type="dxa"/>
            <w:tcBorders/>
            <w:shd w:fill="CCEEFF" w:val="clear"/>
            <w:vAlign w:val="center"/>
          </w:tcPr>
          <w:p>
            <w:pPr>
              <w:pStyle w:val="TableContents"/>
              <w:spacing w:before="0" w:after="1"/>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5,516</w:t>
            </w:r>
          </w:p>
        </w:tc>
        <w:tc>
          <w:tcPr>
            <w:tcW w:w="326" w:type="dxa"/>
            <w:tcBorders/>
            <w:shd w:fill="CCEEFF" w:val="clear"/>
            <w:vAlign w:val="center"/>
          </w:tcPr>
          <w:p>
            <w:pPr>
              <w:pStyle w:val="TableContents"/>
              <w:spacing w:before="0" w:after="1"/>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16,275</w:t>
            </w:r>
          </w:p>
        </w:tc>
        <w:tc>
          <w:tcPr>
            <w:tcW w:w="326" w:type="dxa"/>
            <w:tcBorders/>
            <w:shd w:fill="CCEEFF" w:val="clear"/>
            <w:vAlign w:val="center"/>
          </w:tcPr>
          <w:p>
            <w:pPr>
              <w:pStyle w:val="TableContents"/>
              <w:spacing w:before="0" w:after="1"/>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53,254</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80,534</w:t>
            </w:r>
          </w:p>
        </w:tc>
        <w:tc>
          <w:tcPr>
            <w:tcW w:w="326" w:type="dxa"/>
            <w:tcBorders/>
            <w:shd w:fill="CCEEFF" w:val="clear"/>
            <w:vAlign w:val="center"/>
          </w:tcPr>
          <w:p>
            <w:pPr>
              <w:pStyle w:val="TableContents"/>
              <w:spacing w:before="0" w:after="1"/>
              <w:ind w:left="0" w:right="0" w:hanging="0"/>
              <w:rPr/>
            </w:pPr>
            <w:r>
              <w:rPr/>
              <w:t> </w:t>
            </w:r>
          </w:p>
        </w:tc>
        <w:tc>
          <w:tcPr>
            <w:tcW w:w="14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62,968</w:t>
            </w:r>
          </w:p>
        </w:tc>
      </w:tr>
      <w:tr>
        <w:trPr/>
        <w:tc>
          <w:tcPr>
            <w:tcW w:w="2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2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40,506</w:t>
            </w:r>
          </w:p>
        </w:tc>
        <w:tc>
          <w:tcPr>
            <w:tcW w:w="326" w:type="dxa"/>
            <w:tcBorders/>
            <w:shd w:fill="auto" w:val="clear"/>
            <w:vAlign w:val="center"/>
          </w:tcPr>
          <w:p>
            <w:pPr>
              <w:pStyle w:val="TableContents"/>
              <w:spacing w:before="0" w:after="1"/>
              <w:ind w:left="0" w:right="0" w:hanging="0"/>
              <w:rPr/>
            </w:pPr>
            <w:r>
              <w:rPr/>
              <w:t> </w:t>
            </w:r>
          </w:p>
        </w:tc>
        <w:tc>
          <w:tcPr>
            <w:tcW w:w="8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34,976</w:t>
            </w:r>
          </w:p>
        </w:tc>
        <w:tc>
          <w:tcPr>
            <w:tcW w:w="326" w:type="dxa"/>
            <w:tcBorders/>
            <w:shd w:fill="auto" w:val="clear"/>
            <w:vAlign w:val="center"/>
          </w:tcPr>
          <w:p>
            <w:pPr>
              <w:pStyle w:val="TableContents"/>
              <w:spacing w:before="0" w:after="1"/>
              <w:ind w:left="0" w:right="0" w:hanging="0"/>
              <w:rPr/>
            </w:pPr>
            <w:r>
              <w:rPr/>
              <w:t> </w:t>
            </w:r>
          </w:p>
        </w:tc>
        <w:tc>
          <w:tcPr>
            <w:tcW w:w="8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16,275</w:t>
            </w:r>
          </w:p>
        </w:tc>
        <w:tc>
          <w:tcPr>
            <w:tcW w:w="326" w:type="dxa"/>
            <w:tcBorders/>
            <w:shd w:fill="auto" w:val="clear"/>
            <w:vAlign w:val="center"/>
          </w:tcPr>
          <w:p>
            <w:pPr>
              <w:pStyle w:val="TableContents"/>
              <w:spacing w:before="0" w:after="1"/>
              <w:ind w:left="0" w:right="0" w:hanging="0"/>
              <w:rPr/>
            </w:pPr>
            <w:r>
              <w:rPr/>
              <w:t> </w:t>
            </w:r>
          </w:p>
        </w:tc>
        <w:tc>
          <w:tcPr>
            <w:tcW w:w="8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53,254</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145,011</w:t>
            </w:r>
          </w:p>
        </w:tc>
        <w:tc>
          <w:tcPr>
            <w:tcW w:w="326" w:type="dxa"/>
            <w:tcBorders/>
            <w:shd w:fill="auto" w:val="clear"/>
            <w:vAlign w:val="center"/>
          </w:tcPr>
          <w:p>
            <w:pPr>
              <w:pStyle w:val="TableContents"/>
              <w:spacing w:before="0" w:after="1"/>
              <w:ind w:left="0" w:right="0" w:hanging="0"/>
              <w:rPr/>
            </w:pPr>
            <w:r>
              <w:rPr/>
              <w:t> </w:t>
            </w:r>
          </w:p>
        </w:tc>
        <w:tc>
          <w:tcPr>
            <w:tcW w:w="142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127,445</w:t>
            </w:r>
          </w:p>
        </w:tc>
      </w:tr>
    </w:tbl>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517"/>
        <w:gridCol w:w="326"/>
        <w:gridCol w:w="927"/>
        <w:gridCol w:w="326"/>
        <w:gridCol w:w="867"/>
        <w:gridCol w:w="326"/>
        <w:gridCol w:w="868"/>
        <w:gridCol w:w="326"/>
        <w:gridCol w:w="868"/>
        <w:gridCol w:w="326"/>
        <w:gridCol w:w="781"/>
        <w:gridCol w:w="326"/>
        <w:gridCol w:w="1421"/>
      </w:tblGrid>
      <w:tr>
        <w:trPr/>
        <w:tc>
          <w:tcPr>
            <w:tcW w:w="25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598295" cy="175260"/>
                      <wp:effectExtent l="0" t="0" r="0" b="0"/>
                      <wp:wrapNone/>
                      <wp:docPr id="201" name="Frame200"/>
                      <a:graphic xmlns:a="http://schemas.openxmlformats.org/drawingml/2006/main">
                        <a:graphicData uri="http://schemas.microsoft.com/office/word/2010/wordprocessingShape">
                          <wps:wsp>
                            <wps:cNvSpPr txBox="1"/>
                            <wps:spPr>
                              <a:xfrm>
                                <a:off x="0" y="0"/>
                                <a:ext cx="1598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88645" cy="175260"/>
                      <wp:effectExtent l="0" t="0" r="0" b="0"/>
                      <wp:wrapNone/>
                      <wp:docPr id="203" name="Frame202"/>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50545" cy="175260"/>
                      <wp:effectExtent l="0" t="0" r="0" b="0"/>
                      <wp:wrapNone/>
                      <wp:docPr id="205" name="Frame204"/>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51180" cy="175260"/>
                      <wp:effectExtent l="0" t="0" r="0" b="0"/>
                      <wp:wrapNone/>
                      <wp:docPr id="207" name="Frame206"/>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51180" cy="175260"/>
                      <wp:effectExtent l="0" t="0" r="0" b="0"/>
                      <wp:wrapNone/>
                      <wp:docPr id="209" name="Frame208"/>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260"/>
                      <wp:effectExtent l="0" t="0" r="0" b="0"/>
                      <wp:wrapNone/>
                      <wp:docPr id="211" name="Frame21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902335" cy="175260"/>
                      <wp:effectExtent l="0" t="0" r="0" b="0"/>
                      <wp:wrapNone/>
                      <wp:docPr id="213" name="Frame212"/>
                      <a:graphic xmlns:a="http://schemas.openxmlformats.org/drawingml/2006/main">
                        <a:graphicData uri="http://schemas.microsoft.com/office/word/2010/wordprocessingShape">
                          <wps:wsp>
                            <wps:cNvSpPr txBox="1"/>
                            <wps:spPr>
                              <a:xfrm>
                                <a:off x="0" y="0"/>
                                <a:ext cx="902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2"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2022</w:t>
            </w:r>
          </w:p>
        </w:tc>
      </w:tr>
      <w:tr>
        <w:trPr/>
        <w:tc>
          <w:tcPr>
            <w:tcW w:w="251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pPr>
            <w:r>
              <w:rPr/>
              <w:t>​</w:t>
            </w:r>
          </w:p>
        </w:tc>
      </w:tr>
      <w:tr>
        <w:trPr/>
        <w:tc>
          <w:tcPr>
            <w:tcW w:w="251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6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 years</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pPr>
            <w:r>
              <w:rPr/>
              <w:t>​</w:t>
            </w:r>
          </w:p>
        </w:tc>
      </w:tr>
      <w:tr>
        <w:trPr/>
        <w:tc>
          <w:tcPr>
            <w:tcW w:w="2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Within 1</w:t>
            </w:r>
          </w:p>
        </w:tc>
        <w:tc>
          <w:tcPr>
            <w:tcW w:w="326" w:type="dxa"/>
            <w:tcBorders/>
            <w:shd w:fill="auto" w:val="clear"/>
            <w:vAlign w:val="center"/>
          </w:tcPr>
          <w:p>
            <w:pPr>
              <w:pStyle w:val="TableContents"/>
              <w:spacing w:before="0" w:after="1"/>
              <w:ind w:left="0" w:right="0" w:hanging="0"/>
              <w:jc w:val="center"/>
              <w:rPr/>
            </w:pPr>
            <w:r>
              <w:rPr/>
              <w:t>​</w:t>
            </w:r>
          </w:p>
        </w:tc>
        <w:tc>
          <w:tcPr>
            <w:tcW w:w="86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 but</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but less </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pPr>
            <w:r>
              <w:rPr/>
              <w:t>​</w:t>
            </w:r>
          </w:p>
        </w:tc>
      </w:tr>
      <w:tr>
        <w:trPr/>
        <w:tc>
          <w:tcPr>
            <w:tcW w:w="2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or on-</w:t>
            </w:r>
          </w:p>
        </w:tc>
        <w:tc>
          <w:tcPr>
            <w:tcW w:w="326" w:type="dxa"/>
            <w:tcBorders/>
            <w:shd w:fill="auto" w:val="clear"/>
            <w:vAlign w:val="center"/>
          </w:tcPr>
          <w:p>
            <w:pPr>
              <w:pStyle w:val="TableContents"/>
              <w:spacing w:before="0" w:after="1"/>
              <w:ind w:left="0" w:right="0" w:hanging="0"/>
              <w:jc w:val="center"/>
              <w:rPr/>
            </w:pPr>
            <w:r>
              <w:rPr/>
              <w:t>​</w:t>
            </w:r>
          </w:p>
        </w:tc>
        <w:tc>
          <w:tcPr>
            <w:tcW w:w="86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2</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than 5</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amount</w:t>
            </w:r>
          </w:p>
        </w:tc>
      </w:tr>
      <w:tr>
        <w:trPr/>
        <w:tc>
          <w:tcPr>
            <w:tcW w:w="2517"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92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demand</w:t>
            </w:r>
          </w:p>
        </w:tc>
        <w:tc>
          <w:tcPr>
            <w:tcW w:w="326" w:type="dxa"/>
            <w:tcBorders/>
            <w:shd w:fill="auto" w:val="clear"/>
            <w:vAlign w:val="center"/>
          </w:tcPr>
          <w:p>
            <w:pPr>
              <w:pStyle w:val="TableContents"/>
              <w:spacing w:before="0" w:after="1"/>
              <w:ind w:left="0" w:right="0" w:hanging="0"/>
              <w:jc w:val="center"/>
              <w:rPr/>
            </w:pPr>
            <w:r>
              <w:rPr/>
              <w:t>    </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1"/>
              <w:ind w:left="0" w:right="0" w:hanging="0"/>
              <w:jc w:val="center"/>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1"/>
              <w:ind w:left="0" w:right="0" w:hanging="0"/>
              <w:jc w:val="center"/>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jc w:val="center"/>
              <w:rPr/>
            </w:pPr>
            <w:r>
              <w:rPr/>
              <w:t>    </w:t>
            </w:r>
          </w:p>
        </w:tc>
        <w:tc>
          <w:tcPr>
            <w:tcW w:w="14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251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Trade payables</w:t>
            </w:r>
          </w:p>
        </w:tc>
        <w:tc>
          <w:tcPr>
            <w:tcW w:w="326" w:type="dxa"/>
            <w:tcBorders/>
            <w:shd w:fill="CCEEFF" w:val="clear"/>
            <w:vAlign w:val="center"/>
          </w:tcPr>
          <w:p>
            <w:pPr>
              <w:pStyle w:val="TableContents"/>
              <w:spacing w:before="0" w:after="1"/>
              <w:ind w:left="0" w:right="0" w:hanging="0"/>
              <w:rPr/>
            </w:pPr>
            <w:r>
              <w:rPr/>
              <w:t> </w:t>
            </w:r>
          </w:p>
        </w:tc>
        <w:tc>
          <w:tcPr>
            <w:tcW w:w="9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15,768</w:t>
            </w:r>
          </w:p>
        </w:tc>
        <w:tc>
          <w:tcPr>
            <w:tcW w:w="326"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15,768</w:t>
            </w:r>
          </w:p>
        </w:tc>
        <w:tc>
          <w:tcPr>
            <w:tcW w:w="326" w:type="dxa"/>
            <w:tcBorders/>
            <w:shd w:fill="CCEEFF" w:val="clear"/>
            <w:vAlign w:val="center"/>
          </w:tcPr>
          <w:p>
            <w:pPr>
              <w:pStyle w:val="TableContents"/>
              <w:spacing w:before="0" w:after="1"/>
              <w:ind w:left="0" w:right="0" w:hanging="0"/>
              <w:rPr/>
            </w:pPr>
            <w:r>
              <w:rPr/>
              <w:t> </w:t>
            </w:r>
          </w:p>
        </w:tc>
        <w:tc>
          <w:tcPr>
            <w:tcW w:w="14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15,768</w:t>
            </w:r>
          </w:p>
        </w:tc>
      </w:tr>
      <w:tr>
        <w:trPr/>
        <w:tc>
          <w:tcPr>
            <w:tcW w:w="251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payables and accruals</w:t>
            </w:r>
          </w:p>
        </w:tc>
        <w:tc>
          <w:tcPr>
            <w:tcW w:w="326" w:type="dxa"/>
            <w:tcBorders/>
            <w:shd w:fill="auto" w:val="clear"/>
            <w:vAlign w:val="center"/>
          </w:tcPr>
          <w:p>
            <w:pPr>
              <w:pStyle w:val="TableContents"/>
              <w:spacing w:before="0" w:after="1"/>
              <w:ind w:left="0" w:right="0" w:hanging="0"/>
              <w:rPr/>
            </w:pPr>
            <w:r>
              <w:rPr/>
              <w:t> </w:t>
            </w:r>
          </w:p>
        </w:tc>
        <w:tc>
          <w:tcPr>
            <w:tcW w:w="9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22,176</w:t>
            </w:r>
          </w:p>
        </w:tc>
        <w:tc>
          <w:tcPr>
            <w:tcW w:w="326"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22,176</w:t>
            </w:r>
          </w:p>
        </w:tc>
        <w:tc>
          <w:tcPr>
            <w:tcW w:w="326" w:type="dxa"/>
            <w:tcBorders/>
            <w:shd w:fill="auto" w:val="clear"/>
            <w:vAlign w:val="center"/>
          </w:tcPr>
          <w:p>
            <w:pPr>
              <w:pStyle w:val="TableContents"/>
              <w:spacing w:before="0" w:after="1"/>
              <w:ind w:left="0" w:right="0" w:hanging="0"/>
              <w:rPr/>
            </w:pPr>
            <w:r>
              <w:rPr/>
              <w:t> </w:t>
            </w:r>
          </w:p>
        </w:tc>
        <w:tc>
          <w:tcPr>
            <w:tcW w:w="1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22,176</w:t>
            </w:r>
          </w:p>
        </w:tc>
      </w:tr>
      <w:tr>
        <w:trPr/>
        <w:tc>
          <w:tcPr>
            <w:tcW w:w="251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 due to a related party</w:t>
            </w:r>
          </w:p>
        </w:tc>
        <w:tc>
          <w:tcPr>
            <w:tcW w:w="326" w:type="dxa"/>
            <w:tcBorders/>
            <w:shd w:fill="CCEEFF" w:val="clear"/>
            <w:vAlign w:val="center"/>
          </w:tcPr>
          <w:p>
            <w:pPr>
              <w:pStyle w:val="TableContents"/>
              <w:spacing w:before="0" w:after="1"/>
              <w:ind w:left="0" w:right="0" w:hanging="0"/>
              <w:rPr/>
            </w:pPr>
            <w:r>
              <w:rPr/>
              <w:t>​</w:t>
            </w:r>
          </w:p>
        </w:tc>
        <w:tc>
          <w:tcPr>
            <w:tcW w:w="9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spacing w:before="0" w:after="1"/>
              <w:ind w:left="0" w:right="0" w:hanging="0"/>
              <w:rPr/>
            </w:pPr>
            <w:r>
              <w:rPr/>
              <w:t>​</w:t>
            </w:r>
          </w:p>
        </w:tc>
        <w:tc>
          <w:tcPr>
            <w:tcW w:w="14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2517"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Borrowings</w:t>
            </w:r>
          </w:p>
        </w:tc>
        <w:tc>
          <w:tcPr>
            <w:tcW w:w="326" w:type="dxa"/>
            <w:tcBorders/>
            <w:shd w:fill="auto" w:val="clear"/>
            <w:vAlign w:val="center"/>
          </w:tcPr>
          <w:p>
            <w:pPr>
              <w:pStyle w:val="TableContents"/>
              <w:spacing w:before="0" w:after="1"/>
              <w:ind w:left="0" w:right="0" w:hanging="0"/>
              <w:rPr/>
            </w:pPr>
            <w:r>
              <w:rPr/>
              <w:t>​</w:t>
            </w:r>
          </w:p>
        </w:tc>
        <w:tc>
          <w:tcPr>
            <w:tcW w:w="9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29,805</w:t>
            </w:r>
          </w:p>
        </w:tc>
        <w:tc>
          <w:tcPr>
            <w:tcW w:w="326"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29,805</w:t>
            </w:r>
          </w:p>
        </w:tc>
        <w:tc>
          <w:tcPr>
            <w:tcW w:w="326" w:type="dxa"/>
            <w:tcBorders/>
            <w:shd w:fill="auto" w:val="clear"/>
            <w:vAlign w:val="center"/>
          </w:tcPr>
          <w:p>
            <w:pPr>
              <w:pStyle w:val="TableContents"/>
              <w:spacing w:before="0" w:after="1"/>
              <w:ind w:left="0" w:right="0" w:hanging="0"/>
              <w:rPr/>
            </w:pPr>
            <w:r>
              <w:rPr/>
              <w:t>​</w:t>
            </w:r>
          </w:p>
        </w:tc>
        <w:tc>
          <w:tcPr>
            <w:tcW w:w="1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29,805</w:t>
            </w:r>
          </w:p>
        </w:tc>
      </w:tr>
      <w:tr>
        <w:trPr/>
        <w:tc>
          <w:tcPr>
            <w:tcW w:w="251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1"/>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7,471</w:t>
            </w:r>
          </w:p>
        </w:tc>
        <w:tc>
          <w:tcPr>
            <w:tcW w:w="326" w:type="dxa"/>
            <w:tcBorders/>
            <w:shd w:fill="CCEEFF" w:val="clear"/>
            <w:vAlign w:val="center"/>
          </w:tcPr>
          <w:p>
            <w:pPr>
              <w:pStyle w:val="TableContents"/>
              <w:spacing w:before="0" w:after="1"/>
              <w:ind w:left="0" w:right="0" w:hanging="0"/>
              <w:rPr/>
            </w:pPr>
            <w:r>
              <w:rPr/>
              <w:t> </w:t>
            </w:r>
          </w:p>
        </w:tc>
        <w:tc>
          <w:tcPr>
            <w:tcW w:w="8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6,967</w:t>
            </w:r>
          </w:p>
        </w:tc>
        <w:tc>
          <w:tcPr>
            <w:tcW w:w="326" w:type="dxa"/>
            <w:tcBorders/>
            <w:shd w:fill="CCEEFF" w:val="clear"/>
            <w:vAlign w:val="center"/>
          </w:tcPr>
          <w:p>
            <w:pPr>
              <w:pStyle w:val="TableContents"/>
              <w:spacing w:before="0" w:after="1"/>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20,290</w:t>
            </w:r>
          </w:p>
        </w:tc>
        <w:tc>
          <w:tcPr>
            <w:tcW w:w="326" w:type="dxa"/>
            <w:tcBorders/>
            <w:shd w:fill="CCEEFF" w:val="clear"/>
            <w:vAlign w:val="center"/>
          </w:tcPr>
          <w:p>
            <w:pPr>
              <w:pStyle w:val="TableContents"/>
              <w:spacing w:before="0" w:after="1"/>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53,347</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88,075</w:t>
            </w:r>
          </w:p>
        </w:tc>
        <w:tc>
          <w:tcPr>
            <w:tcW w:w="326" w:type="dxa"/>
            <w:tcBorders/>
            <w:shd w:fill="CCEEFF" w:val="clear"/>
            <w:vAlign w:val="center"/>
          </w:tcPr>
          <w:p>
            <w:pPr>
              <w:pStyle w:val="TableContents"/>
              <w:spacing w:before="0" w:after="1"/>
              <w:ind w:left="0" w:right="0" w:hanging="0"/>
              <w:rPr/>
            </w:pPr>
            <w:r>
              <w:rPr/>
              <w:t> </w:t>
            </w:r>
          </w:p>
        </w:tc>
        <w:tc>
          <w:tcPr>
            <w:tcW w:w="14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70,425</w:t>
            </w:r>
          </w:p>
        </w:tc>
      </w:tr>
      <w:tr>
        <w:trPr/>
        <w:tc>
          <w:tcPr>
            <w:tcW w:w="251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2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75,536</w:t>
            </w:r>
          </w:p>
        </w:tc>
        <w:tc>
          <w:tcPr>
            <w:tcW w:w="326" w:type="dxa"/>
            <w:tcBorders/>
            <w:shd w:fill="auto" w:val="clear"/>
            <w:vAlign w:val="center"/>
          </w:tcPr>
          <w:p>
            <w:pPr>
              <w:pStyle w:val="TableContents"/>
              <w:spacing w:before="0" w:after="1"/>
              <w:ind w:left="0" w:right="0" w:hanging="0"/>
              <w:rPr/>
            </w:pPr>
            <w:r>
              <w:rPr/>
              <w:t> </w:t>
            </w:r>
          </w:p>
        </w:tc>
        <w:tc>
          <w:tcPr>
            <w:tcW w:w="8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6,967</w:t>
            </w:r>
          </w:p>
        </w:tc>
        <w:tc>
          <w:tcPr>
            <w:tcW w:w="326" w:type="dxa"/>
            <w:tcBorders/>
            <w:shd w:fill="auto" w:val="clear"/>
            <w:vAlign w:val="center"/>
          </w:tcPr>
          <w:p>
            <w:pPr>
              <w:pStyle w:val="TableContents"/>
              <w:spacing w:before="0" w:after="1"/>
              <w:ind w:left="0" w:right="0" w:hanging="0"/>
              <w:rPr/>
            </w:pPr>
            <w:r>
              <w:rPr/>
              <w:t> </w:t>
            </w:r>
          </w:p>
        </w:tc>
        <w:tc>
          <w:tcPr>
            <w:tcW w:w="8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20,290</w:t>
            </w:r>
          </w:p>
        </w:tc>
        <w:tc>
          <w:tcPr>
            <w:tcW w:w="326" w:type="dxa"/>
            <w:tcBorders/>
            <w:shd w:fill="auto" w:val="clear"/>
            <w:vAlign w:val="center"/>
          </w:tcPr>
          <w:p>
            <w:pPr>
              <w:pStyle w:val="TableContents"/>
              <w:spacing w:before="0" w:after="1"/>
              <w:ind w:left="0" w:right="0" w:hanging="0"/>
              <w:rPr/>
            </w:pPr>
            <w:r>
              <w:rPr/>
              <w:t> </w:t>
            </w:r>
          </w:p>
        </w:tc>
        <w:tc>
          <w:tcPr>
            <w:tcW w:w="8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53,347</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156,140</w:t>
            </w:r>
          </w:p>
        </w:tc>
        <w:tc>
          <w:tcPr>
            <w:tcW w:w="326" w:type="dxa"/>
            <w:tcBorders/>
            <w:shd w:fill="auto" w:val="clear"/>
            <w:vAlign w:val="center"/>
          </w:tcPr>
          <w:p>
            <w:pPr>
              <w:pStyle w:val="TableContents"/>
              <w:spacing w:before="0" w:after="1"/>
              <w:ind w:left="0" w:right="0" w:hanging="0"/>
              <w:rPr/>
            </w:pPr>
            <w:r>
              <w:rPr/>
              <w:t> </w:t>
            </w:r>
          </w:p>
        </w:tc>
        <w:tc>
          <w:tcPr>
            <w:tcW w:w="142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138,490</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measurement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Fair values are estimated at a specific point in time, by discounting expected cash flows at rates for assets and liabilities of the same remaining maturities and conditions. These estimates are subjective in nature and involve uncertainties and significant judgment, and therefore, cannot be determined with precision. Changes in assumptions could significantly affect the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uses the following hierarchy for determining and disclosing the fair value of financial instruments by valuation techniques:</w:t>
      </w:r>
    </w:p>
    <w:tbl>
      <w:tblPr>
        <w:tblW w:w="10161" w:type="dxa"/>
        <w:jc w:val="left"/>
        <w:tblInd w:w="0" w:type="dxa"/>
        <w:tblCellMar>
          <w:top w:w="28" w:type="dxa"/>
          <w:left w:w="28" w:type="dxa"/>
          <w:bottom w:w="28" w:type="dxa"/>
          <w:right w:w="28" w:type="dxa"/>
        </w:tblCellMar>
      </w:tblPr>
      <w:tblGrid>
        <w:gridCol w:w="124"/>
        <w:gridCol w:w="256"/>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Level 1 valuation: unadjusted quoted prices in active markets for identical assets or liabilities at the measurement date.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Level 2 valuation: inputs, other than quoted prices included within Level 1, that are observable for the asset or liability, either directly or indirectly.</w:t>
            </w:r>
          </w:p>
        </w:tc>
      </w:tr>
    </w:tbl>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Level 3 valuation: fair value measured using significant unobservable inputs.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hierarchy also requires an entity to maximize the use of observable inputs and minimize the use of unobservable inputs when measuring fair value.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except for the investments in financial assets at fair value through profit or loss and USDC, substantially all of the Group’s financial assets and financial liabilities are carried at amortized costs and the carrying amounts approximate their fair values.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bookmarkStart w:id="933" w:name="Tc_fZEDy_Mn7UKHQgJcJ0fa5Q_9_0"/>
      <w:bookmarkStart w:id="934" w:name="Tc_TUa_5tA6pEua7fPMT0jrqQ_8_2"/>
      <w:bookmarkStart w:id="935" w:name="Tc_1araTnViyEKmgBfkWxiJCA_8_0"/>
      <w:bookmarkStart w:id="936" w:name="Tc_YFrUotasRUed41-7_9oR9Q_7_2"/>
      <w:bookmarkStart w:id="937" w:name="Tc_KOTC3Lvu9kKsbqbV-VktaQ_7_0"/>
      <w:bookmarkStart w:id="938" w:name="Tc_PrIXgoP_LU2bcPFaut5Bsg_6_2"/>
      <w:bookmarkStart w:id="939" w:name="Tc_drEd33WDRE6gfSDjqeN8cA_6_0"/>
      <w:bookmarkStart w:id="940" w:name="Tc_uSzYrfkaBEG8Wtr4KbvwHA_5_0"/>
      <w:bookmarkStart w:id="941" w:name="Tc_EjYpYIIGwkOeoW8mn8FSwg_4_2"/>
      <w:bookmarkStart w:id="942" w:name="Tc_DKefjUE1KEOHhgPConzDyg_4_0"/>
      <w:bookmarkStart w:id="943" w:name="Tc_XXr7uSP3A02fjUhpVBTldQ_3_0"/>
      <w:bookmarkStart w:id="944" w:name="Tc_AwSUQi8wgkOOaHlSLB5tVQ_2_4"/>
      <w:bookmarkStart w:id="945" w:name="Tc_C2mrCPvEYEue-GTcPbzrVg_2_2"/>
      <w:bookmarkStart w:id="946" w:name="Tc_UPx-FLpIgUapqeU_HYqr0A_2_0"/>
      <w:bookmarkStart w:id="947" w:name="Tc_xSfaDi-yekaOM9DowlWSeA_1_2"/>
      <w:bookmarkStart w:id="948" w:name="Tc_rk7wuDF9bUWNY1j4edfCyg_6_8"/>
      <w:bookmarkStart w:id="949" w:name="Tc_5OAYIdpEh0umZaJxtUrrVw_6_6"/>
      <w:bookmarkStart w:id="950" w:name="Tc_A5ct4a7DcEm2eeiqtRVuJw_6_2"/>
      <w:bookmarkStart w:id="951" w:name="Tc_8lPIsAZo6EazKf9PvxlbuQ_6_0"/>
      <w:bookmarkStart w:id="952" w:name="Tc_et-QAO9h6EeoEPfnVZEJtg_5_8"/>
      <w:bookmarkStart w:id="953" w:name="Tc_p3hejJALt06D5My4nq58VQ_5_6"/>
      <w:bookmarkStart w:id="954" w:name="Tc_Gv37voifJE2lI_Krkigbpw_5_2"/>
      <w:bookmarkStart w:id="955" w:name="Tc_lw05kWA1vUSghQhTnfxsLQ_5_0"/>
      <w:bookmarkStart w:id="956" w:name="Tc_HurI3Qyx2k-JGQfsiTJdUw_4_8"/>
      <w:bookmarkStart w:id="957" w:name="Tc_F1PYAtLmI0KFTIrAj3msEg_4_6"/>
      <w:bookmarkStart w:id="958" w:name="Tc_2rgRs_HHJ0KFAJSZjlAp4g_4_2"/>
      <w:bookmarkStart w:id="959" w:name="Tc_7dAgMlvjRke278Tj1B_NwA_4_0"/>
      <w:bookmarkStart w:id="960" w:name="Tc_KibQu6Rj-kWjov7Eu_qvyA_3_10"/>
      <w:bookmarkStart w:id="961" w:name="Tc_ST4xZjOfnkWcgcyJuFcCnA_3_8"/>
      <w:bookmarkStart w:id="962" w:name="Tc_3UmFKv2JY0Wm30sRGNQhwg_3_2"/>
      <w:bookmarkStart w:id="963" w:name="Tc_T8eqvaaa2UyV_y3QBZ3Fig_3_0"/>
      <w:bookmarkStart w:id="964" w:name="Tc_DiLQeEMi3UC-gmH8tJursg_2_10"/>
      <w:bookmarkStart w:id="965" w:name="Tc_iYimUD9dWk6WptmIUIzBXA_2_8"/>
      <w:bookmarkStart w:id="966" w:name="Tc_a99vB1Aj0E-pat2PkDygkA_2_6"/>
      <w:bookmarkStart w:id="967" w:name="Tc_zAFmDMUaV0OhZ0NAZYR2cg_2_4"/>
      <w:bookmarkStart w:id="968" w:name="Tc_2v5TOJV96k2LtUJP1BkaNA_2_2"/>
      <w:bookmarkStart w:id="969" w:name="Tc_8DDvV_ylcE6DDc8b9QMsEg_2_0"/>
      <w:bookmarkStart w:id="970" w:name="Tc_GZ0lf05qH0-uhDU8NMSixQ_1_4"/>
      <w:bookmarkStart w:id="971" w:name="Tc_MFvvfwOCLE6hsIaVLnAkBg_1_2"/>
      <w:bookmarkStart w:id="972" w:name="_9556ee09_1716_41f2_b701_59d8bfe5f07e"/>
      <w:bookmarkStart w:id="973" w:name="Tc_WrIns4BFkUyHJ_YbTs5rJg_4_8"/>
      <w:bookmarkStart w:id="974" w:name="Tc_WPmAQjVIkE23HW1_H8dcPQ_4_6"/>
      <w:bookmarkStart w:id="975" w:name="Tc_oPbWu-MLZ02T0oTloccFEw_4_2"/>
      <w:bookmarkStart w:id="976" w:name="Tc_YOiKTYBJXUWtju1gqn9-vA_4_0"/>
      <w:bookmarkStart w:id="977" w:name="Tc_SWTtkMUOekmI3rW93khkfw_3_10"/>
      <w:bookmarkStart w:id="978" w:name="Tc__BqPXLxd5UitvoAwZKX2eQ_3_8"/>
      <w:bookmarkStart w:id="979" w:name="Tc_6eZqtmdGgUKi84RQxIAWoA_3_2"/>
      <w:bookmarkStart w:id="980" w:name="Tc_49qFhqiiHECNaxVLjcNQ9w_3_0"/>
      <w:bookmarkStart w:id="981" w:name="Tc_pDmJqHIBu0O2FiVUSVXpsQ_2_10"/>
      <w:bookmarkStart w:id="982" w:name="Tc_Y87bKb3wTk6BvxFfTwJfXw_2_8"/>
      <w:bookmarkStart w:id="983" w:name="Tc_bxmTuSAi70iTbv3bkgJdAg_2_6"/>
      <w:bookmarkStart w:id="984" w:name="Tc_VRMUZZT8jES9btZJ6mQTRA_2_4"/>
      <w:bookmarkStart w:id="985" w:name="Tc_sauoBd7CKk65ZdOUzpPuhQ_2_2"/>
      <w:bookmarkStart w:id="986" w:name="Tc_QDuboKvoyUOyaXlzBbC03w_2_0"/>
      <w:bookmarkStart w:id="987" w:name="Tc_mPsEpm7qYE2lK-HbhOSs_g_1_4"/>
      <w:bookmarkStart w:id="988" w:name="Tc_L6IxZk_460azxWVBsQUalA_1_2"/>
      <w:bookmarkStart w:id="989" w:name="_66728a85_bf6e_48fe_b6b9_efdb9ac3489c"/>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sz w:val="20"/>
        </w:rPr>
        <w:t>The fair value of financial instruments traded in active markets is determined with reference to quoted market prices at the end of the reporting period. 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for evaluating the fair value of a financial instrument are observable, the instrument is included in level 2. If one or more of the significant inputs are not based on observable market data, the instrument is included in level 3.</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and 2022, the fair value of the cryptocurrencies lent or invested is measured on a recurring basis at quoted price at the time the fair value of the underlying cryptocurrencies is being measured, which the Group considers to be a Level 1 fair value input. The fair value of the embedded derivative relating to the wealth management product is measured on a recurring basis by taking the net asset value provided by the counterparty, which the Group considers to be a Level 2 fair value input.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finance department performs valuations of financial instruments. The finance department reports directly to the chief financial officer and discusses valuation processes and results with the chief financial officer in order to comply with the Group’s accounting and reporting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valuation procedures applied include consideration of recent transactions in the same security or financial instrument, recent financing of the investee companies, economic and market conditions, current and projected financial performance of the investee companies, and the investee companies’ management team as well as potential future strategies to realize the investments.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measurement hierarchy for the Group’s financial instruments measured at fair value is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740"/>
        <w:gridCol w:w="326"/>
        <w:gridCol w:w="1891"/>
        <w:gridCol w:w="326"/>
        <w:gridCol w:w="1050"/>
        <w:gridCol w:w="326"/>
        <w:gridCol w:w="608"/>
        <w:gridCol w:w="326"/>
        <w:gridCol w:w="608"/>
        <w:gridCol w:w="326"/>
        <w:gridCol w:w="678"/>
      </w:tblGrid>
      <w:tr>
        <w:trPr/>
        <w:tc>
          <w:tcPr>
            <w:tcW w:w="37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374900" cy="175260"/>
                      <wp:effectExtent l="0" t="0" r="0" b="0"/>
                      <wp:wrapNone/>
                      <wp:docPr id="214" name="Frame213"/>
                      <a:graphic xmlns:a="http://schemas.openxmlformats.org/drawingml/2006/main">
                        <a:graphicData uri="http://schemas.microsoft.com/office/word/2010/wordprocessingShape">
                          <wps:wsp>
                            <wps:cNvSpPr txBox="1"/>
                            <wps:spPr>
                              <a:xfrm>
                                <a:off x="0" y="0"/>
                                <a:ext cx="2374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00785" cy="175260"/>
                      <wp:effectExtent l="0" t="0" r="0" b="0"/>
                      <wp:wrapNone/>
                      <wp:docPr id="216" name="Frame215"/>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66750" cy="175260"/>
                      <wp:effectExtent l="0" t="0" r="0" b="0"/>
                      <wp:wrapNone/>
                      <wp:docPr id="218" name="Frame217"/>
                      <a:graphic xmlns:a="http://schemas.openxmlformats.org/drawingml/2006/main">
                        <a:graphicData uri="http://schemas.microsoft.com/office/word/2010/wordprocessingShape">
                          <wps:wsp>
                            <wps:cNvSpPr txBox="1"/>
                            <wps:spPr>
                              <a:xfrm>
                                <a:off x="0" y="0"/>
                                <a:ext cx="666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86080" cy="175260"/>
                      <wp:effectExtent l="0" t="0" r="0" b="0"/>
                      <wp:wrapNone/>
                      <wp:docPr id="220" name="Frame219"/>
                      <a:graphic xmlns:a="http://schemas.openxmlformats.org/drawingml/2006/main">
                        <a:graphicData uri="http://schemas.microsoft.com/office/word/2010/wordprocessingShape">
                          <wps:wsp>
                            <wps:cNvSpPr txBox="1"/>
                            <wps:spPr>
                              <a:xfrm>
                                <a:off x="0" y="0"/>
                                <a:ext cx="3860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86080" cy="175260"/>
                      <wp:effectExtent l="0" t="0" r="0" b="0"/>
                      <wp:wrapNone/>
                      <wp:docPr id="222" name="Frame221"/>
                      <a:graphic xmlns:a="http://schemas.openxmlformats.org/drawingml/2006/main">
                        <a:graphicData uri="http://schemas.microsoft.com/office/word/2010/wordprocessingShape">
                          <wps:wsp>
                            <wps:cNvSpPr txBox="1"/>
                            <wps:spPr>
                              <a:xfrm>
                                <a:off x="0" y="0"/>
                                <a:ext cx="3860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30530" cy="175260"/>
                      <wp:effectExtent l="0" t="0" r="0" b="0"/>
                      <wp:wrapNone/>
                      <wp:docPr id="224" name="Frame223"/>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4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8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Valuation technique(s) </w:t>
            </w:r>
          </w:p>
        </w:tc>
        <w:tc>
          <w:tcPr>
            <w:tcW w:w="326" w:type="dxa"/>
            <w:tcBorders/>
            <w:shd w:fill="auto" w:val="clear"/>
            <w:vAlign w:val="center"/>
          </w:tcPr>
          <w:p>
            <w:pPr>
              <w:pStyle w:val="TableContents"/>
              <w:spacing w:before="0" w:after="1"/>
              <w:ind w:left="0" w:right="0" w:hanging="0"/>
              <w:jc w:val="center"/>
              <w:rPr/>
            </w:pPr>
            <w:r>
              <w:rPr/>
              <w:t>    </w:t>
            </w:r>
          </w:p>
        </w:tc>
        <w:tc>
          <w:tcPr>
            <w:tcW w:w="105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1"/>
              <w:ind w:left="0" w:right="0" w:hanging="0"/>
              <w:jc w:val="center"/>
              <w:rPr/>
            </w:pPr>
            <w:r>
              <w:rPr/>
              <w:t>    </w:t>
            </w:r>
          </w:p>
        </w:tc>
        <w:tc>
          <w:tcPr>
            <w:tcW w:w="6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8" w:type="dxa"/>
            <w:tcBorders/>
            <w:shd w:fill="auto" w:val="clear"/>
            <w:vAlign w:val="center"/>
          </w:tcPr>
          <w:p>
            <w:pPr>
              <w:pStyle w:val="TableContents"/>
              <w:spacing w:before="0" w:after="1"/>
              <w:ind w:left="0" w:right="0" w:hanging="0"/>
              <w:jc w:val="center"/>
              <w:rPr/>
            </w:pPr>
            <w:r>
              <w:rPr/>
              <w:t>​</w:t>
            </w:r>
          </w:p>
        </w:tc>
      </w:tr>
      <w:tr>
        <w:trPr/>
        <w:tc>
          <w:tcPr>
            <w:tcW w:w="3740"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18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and key input</w:t>
            </w:r>
          </w:p>
        </w:tc>
        <w:tc>
          <w:tcPr>
            <w:tcW w:w="326" w:type="dxa"/>
            <w:tcBorders/>
            <w:shd w:fill="auto" w:val="clear"/>
            <w:vAlign w:val="center"/>
          </w:tcPr>
          <w:p>
            <w:pPr>
              <w:pStyle w:val="TableContents"/>
              <w:spacing w:before="0" w:after="1"/>
              <w:ind w:left="0" w:right="0" w:hanging="0"/>
              <w:jc w:val="center"/>
              <w:rPr/>
            </w:pPr>
            <w:r>
              <w:rPr/>
              <w:t>​</w:t>
            </w:r>
          </w:p>
        </w:tc>
        <w:tc>
          <w:tcPr>
            <w:tcW w:w="105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60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jc w:val="center"/>
              <w:rPr/>
            </w:pPr>
            <w:r>
              <w:rPr/>
              <w:t>​</w:t>
            </w:r>
          </w:p>
        </w:tc>
        <w:tc>
          <w:tcPr>
            <w:tcW w:w="60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jc w:val="center"/>
              <w:rPr/>
            </w:pPr>
            <w:r>
              <w:rPr/>
              <w:t>​</w:t>
            </w:r>
          </w:p>
        </w:tc>
        <w:tc>
          <w:tcPr>
            <w:tcW w:w="67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740"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1"/>
              <w:ind w:left="0" w:right="0" w:hanging="0"/>
              <w:jc w:val="center"/>
              <w:rPr/>
            </w:pPr>
            <w:r>
              <w:rPr/>
              <w:t>​</w:t>
            </w:r>
          </w:p>
        </w:tc>
        <w:tc>
          <w:tcPr>
            <w:tcW w:w="18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Quoted price</w:t>
            </w:r>
          </w:p>
        </w:tc>
        <w:tc>
          <w:tcPr>
            <w:tcW w:w="326" w:type="dxa"/>
            <w:tcBorders/>
            <w:shd w:fill="CCEEFF" w:val="clear"/>
            <w:vAlign w:val="center"/>
          </w:tcPr>
          <w:p>
            <w:pPr>
              <w:pStyle w:val="TableContents"/>
              <w:spacing w:before="0" w:after="1"/>
              <w:ind w:left="0" w:right="0" w:hanging="0"/>
              <w:jc w:val="center"/>
              <w:rPr/>
            </w:pPr>
            <w:r>
              <w:rPr/>
              <w:t>​</w:t>
            </w:r>
          </w:p>
        </w:tc>
        <w:tc>
          <w:tcPr>
            <w:tcW w:w="10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spacing w:before="0" w:after="1"/>
              <w:ind w:left="0" w:right="0" w:hanging="0"/>
              <w:jc w:val="center"/>
              <w:rPr/>
            </w:pPr>
            <w:r>
              <w:rPr/>
              <w:t>​</w:t>
            </w:r>
          </w:p>
        </w:tc>
        <w:tc>
          <w:tcPr>
            <w:tcW w:w="60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spacing w:before="0" w:after="1"/>
              <w:ind w:left="0" w:right="0" w:hanging="0"/>
              <w:jc w:val="center"/>
              <w:rPr/>
            </w:pPr>
            <w:r>
              <w:rPr/>
              <w:t>​</w:t>
            </w:r>
          </w:p>
        </w:tc>
        <w:tc>
          <w:tcPr>
            <w:tcW w:w="60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678" w:type="dxa"/>
            <w:tcBorders/>
            <w:shd w:fill="CCEEFF" w:val="clear"/>
            <w:vAlign w:val="center"/>
          </w:tcPr>
          <w:p>
            <w:pPr>
              <w:pStyle w:val="TableContents"/>
              <w:spacing w:before="0" w:after="1"/>
              <w:ind w:left="0" w:right="0" w:hanging="0"/>
              <w:jc w:val="right"/>
              <w:rPr/>
            </w:pPr>
            <w:r>
              <w:rPr/>
              <w:t>—</w:t>
            </w:r>
          </w:p>
        </w:tc>
      </w:tr>
      <w:tr>
        <w:trPr/>
        <w:tc>
          <w:tcPr>
            <w:tcW w:w="3740"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Investments A and B in unlisted equity instruments</w:t>
            </w:r>
          </w:p>
        </w:tc>
        <w:tc>
          <w:tcPr>
            <w:tcW w:w="326" w:type="dxa"/>
            <w:tcBorders/>
            <w:shd w:fill="auto" w:val="clear"/>
            <w:vAlign w:val="center"/>
          </w:tcPr>
          <w:p>
            <w:pPr>
              <w:pStyle w:val="TableContents"/>
              <w:spacing w:before="0" w:after="1"/>
              <w:ind w:left="0" w:right="0" w:hanging="0"/>
              <w:rPr/>
            </w:pPr>
            <w:r>
              <w:rPr/>
              <w:t> </w:t>
            </w:r>
          </w:p>
        </w:tc>
        <w:tc>
          <w:tcPr>
            <w:tcW w:w="18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Recent transaction price</w:t>
            </w:r>
          </w:p>
        </w:tc>
        <w:tc>
          <w:tcPr>
            <w:tcW w:w="326" w:type="dxa"/>
            <w:tcBorders/>
            <w:shd w:fill="auto" w:val="clear"/>
            <w:vAlign w:val="center"/>
          </w:tcPr>
          <w:p>
            <w:pPr>
              <w:pStyle w:val="TableContents"/>
              <w:spacing w:before="0" w:after="1"/>
              <w:ind w:left="0" w:right="0" w:hanging="0"/>
              <w:rPr/>
            </w:pPr>
            <w:r>
              <w:rPr/>
              <w:t> </w:t>
            </w:r>
          </w:p>
        </w:tc>
        <w:tc>
          <w:tcPr>
            <w:tcW w:w="10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auto" w:val="clear"/>
            <w:vAlign w:val="center"/>
          </w:tcPr>
          <w:p>
            <w:pPr>
              <w:pStyle w:val="TableContents"/>
              <w:spacing w:before="0" w:after="1"/>
              <w:ind w:left="0" w:right="0" w:hanging="0"/>
              <w:rPr/>
            </w:pPr>
            <w:r>
              <w:rPr/>
              <w:t> </w:t>
            </w:r>
          </w:p>
        </w:tc>
        <w:tc>
          <w:tcPr>
            <w:tcW w:w="60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0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8"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1,250</w:t>
            </w:r>
          </w:p>
        </w:tc>
      </w:tr>
    </w:tbl>
    <w:p>
      <w:pPr>
        <w:pStyle w:val="TextBody"/>
        <w:spacing w:before="0" w:after="240"/>
        <w:ind w:left="0" w:right="0" w:firstLine="360"/>
        <w:jc w:val="both"/>
        <w:rPr/>
      </w:pPr>
      <w:r>
        <w:rPr/>
        <w:t>​</w:t>
      </w:r>
    </w:p>
    <w:tbl>
      <w:tblPr>
        <w:tblW w:w="10205" w:type="dxa"/>
        <w:jc w:val="left"/>
        <w:tblInd w:w="0" w:type="dxa"/>
        <w:tblCellMar>
          <w:top w:w="0" w:type="dxa"/>
          <w:left w:w="0" w:type="dxa"/>
          <w:bottom w:w="0" w:type="dxa"/>
          <w:right w:w="0" w:type="dxa"/>
        </w:tblCellMar>
      </w:tblPr>
      <w:tblGrid>
        <w:gridCol w:w="3728"/>
        <w:gridCol w:w="326"/>
        <w:gridCol w:w="1829"/>
        <w:gridCol w:w="326"/>
        <w:gridCol w:w="1034"/>
        <w:gridCol w:w="326"/>
        <w:gridCol w:w="600"/>
        <w:gridCol w:w="326"/>
        <w:gridCol w:w="600"/>
        <w:gridCol w:w="326"/>
        <w:gridCol w:w="784"/>
      </w:tblGrid>
      <w:tr>
        <w:trPr/>
        <w:tc>
          <w:tcPr>
            <w:tcW w:w="37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367280" cy="175260"/>
                      <wp:effectExtent l="0" t="0" r="0" b="0"/>
                      <wp:wrapNone/>
                      <wp:docPr id="225" name="Frame224"/>
                      <a:graphic xmlns:a="http://schemas.openxmlformats.org/drawingml/2006/main">
                        <a:graphicData uri="http://schemas.microsoft.com/office/word/2010/wordprocessingShape">
                          <wps:wsp>
                            <wps:cNvSpPr txBox="1"/>
                            <wps:spPr>
                              <a:xfrm>
                                <a:off x="0" y="0"/>
                                <a:ext cx="23672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61415" cy="175260"/>
                      <wp:effectExtent l="0" t="0" r="0" b="0"/>
                      <wp:wrapNone/>
                      <wp:docPr id="227" name="Frame226"/>
                      <a:graphic xmlns:a="http://schemas.openxmlformats.org/drawingml/2006/main">
                        <a:graphicData uri="http://schemas.microsoft.com/office/word/2010/wordprocessingShape">
                          <wps:wsp>
                            <wps:cNvSpPr txBox="1"/>
                            <wps:spPr>
                              <a:xfrm>
                                <a:off x="0" y="0"/>
                                <a:ext cx="11614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56590" cy="175260"/>
                      <wp:effectExtent l="0" t="0" r="0" b="0"/>
                      <wp:wrapNone/>
                      <wp:docPr id="229" name="Frame228"/>
                      <a:graphic xmlns:a="http://schemas.openxmlformats.org/drawingml/2006/main">
                        <a:graphicData uri="http://schemas.microsoft.com/office/word/2010/wordprocessingShape">
                          <wps:wsp>
                            <wps:cNvSpPr txBox="1"/>
                            <wps:spPr>
                              <a:xfrm>
                                <a:off x="0" y="0"/>
                                <a:ext cx="656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81000" cy="175260"/>
                      <wp:effectExtent l="0" t="0" r="0" b="0"/>
                      <wp:wrapNone/>
                      <wp:docPr id="231" name="Frame230"/>
                      <a:graphic xmlns:a="http://schemas.openxmlformats.org/drawingml/2006/main">
                        <a:graphicData uri="http://schemas.microsoft.com/office/word/2010/wordprocessingShape">
                          <wps:wsp>
                            <wps:cNvSpPr txBox="1"/>
                            <wps:spPr>
                              <a:xfrm>
                                <a:off x="0" y="0"/>
                                <a:ext cx="3810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81000" cy="175260"/>
                      <wp:effectExtent l="0" t="0" r="0" b="0"/>
                      <wp:wrapNone/>
                      <wp:docPr id="233" name="Frame232"/>
                      <a:graphic xmlns:a="http://schemas.openxmlformats.org/drawingml/2006/main">
                        <a:graphicData uri="http://schemas.microsoft.com/office/word/2010/wordprocessingShape">
                          <wps:wsp>
                            <wps:cNvSpPr txBox="1"/>
                            <wps:spPr>
                              <a:xfrm>
                                <a:off x="0" y="0"/>
                                <a:ext cx="3810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7840" cy="175260"/>
                      <wp:effectExtent l="0" t="0" r="0" b="0"/>
                      <wp:wrapNone/>
                      <wp:docPr id="235" name="Frame234"/>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2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82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technique(s)</w:t>
            </w:r>
          </w:p>
        </w:tc>
        <w:tc>
          <w:tcPr>
            <w:tcW w:w="326" w:type="dxa"/>
            <w:tcBorders/>
            <w:shd w:fill="auto" w:val="clear"/>
            <w:vAlign w:val="center"/>
          </w:tcPr>
          <w:p>
            <w:pPr>
              <w:pStyle w:val="TableContents"/>
              <w:spacing w:before="0" w:after="1"/>
              <w:ind w:left="0" w:right="0" w:hanging="0"/>
              <w:jc w:val="center"/>
              <w:rPr/>
            </w:pPr>
            <w:r>
              <w:rPr/>
              <w:t>    </w:t>
            </w:r>
          </w:p>
        </w:tc>
        <w:tc>
          <w:tcPr>
            <w:tcW w:w="103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1"/>
              <w:ind w:left="0" w:right="0" w:hanging="0"/>
              <w:jc w:val="center"/>
              <w:rPr/>
            </w:pPr>
            <w:r>
              <w:rPr/>
              <w:t>    </w:t>
            </w:r>
          </w:p>
        </w:tc>
        <w:tc>
          <w:tcPr>
            <w:tcW w:w="60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0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4" w:type="dxa"/>
            <w:tcBorders/>
            <w:shd w:fill="auto" w:val="clear"/>
            <w:vAlign w:val="center"/>
          </w:tcPr>
          <w:p>
            <w:pPr>
              <w:pStyle w:val="TableContents"/>
              <w:spacing w:before="0" w:after="1"/>
              <w:ind w:left="0" w:right="0" w:hanging="0"/>
              <w:jc w:val="center"/>
              <w:rPr/>
            </w:pPr>
            <w:r>
              <w:rPr/>
              <w:t>​</w:t>
            </w:r>
          </w:p>
        </w:tc>
      </w:tr>
      <w:tr>
        <w:trPr/>
        <w:tc>
          <w:tcPr>
            <w:tcW w:w="3728"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182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and key input</w:t>
            </w:r>
          </w:p>
        </w:tc>
        <w:tc>
          <w:tcPr>
            <w:tcW w:w="326" w:type="dxa"/>
            <w:tcBorders/>
            <w:shd w:fill="auto" w:val="clear"/>
            <w:vAlign w:val="center"/>
          </w:tcPr>
          <w:p>
            <w:pPr>
              <w:pStyle w:val="TableContents"/>
              <w:spacing w:before="0" w:after="1"/>
              <w:ind w:left="0" w:right="0" w:hanging="0"/>
              <w:jc w:val="center"/>
              <w:rPr/>
            </w:pPr>
            <w:r>
              <w:rPr/>
              <w:t>​</w:t>
            </w:r>
          </w:p>
        </w:tc>
        <w:tc>
          <w:tcPr>
            <w:tcW w:w="103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60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jc w:val="center"/>
              <w:rPr/>
            </w:pPr>
            <w:r>
              <w:rPr/>
              <w:t>​</w:t>
            </w:r>
          </w:p>
        </w:tc>
        <w:tc>
          <w:tcPr>
            <w:tcW w:w="60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jc w:val="center"/>
              <w:rPr/>
            </w:pPr>
            <w:r>
              <w:rPr/>
              <w:t>​</w:t>
            </w:r>
          </w:p>
        </w:tc>
        <w:tc>
          <w:tcPr>
            <w:tcW w:w="78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72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1"/>
              <w:ind w:left="0" w:right="0" w:hanging="0"/>
              <w:jc w:val="center"/>
              <w:rPr/>
            </w:pPr>
            <w:r>
              <w:rPr/>
              <w:t>​</w:t>
            </w:r>
          </w:p>
        </w:tc>
        <w:tc>
          <w:tcPr>
            <w:tcW w:w="182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Quoted price</w:t>
            </w:r>
          </w:p>
        </w:tc>
        <w:tc>
          <w:tcPr>
            <w:tcW w:w="326" w:type="dxa"/>
            <w:tcBorders/>
            <w:shd w:fill="CCEEFF" w:val="clear"/>
            <w:vAlign w:val="center"/>
          </w:tcPr>
          <w:p>
            <w:pPr>
              <w:pStyle w:val="TableContents"/>
              <w:spacing w:before="0" w:after="1"/>
              <w:ind w:left="0" w:right="0" w:hanging="0"/>
              <w:jc w:val="center"/>
              <w:rPr/>
            </w:pPr>
            <w:r>
              <w:rPr/>
              <w:t>​</w:t>
            </w:r>
          </w:p>
        </w:tc>
        <w:tc>
          <w:tcPr>
            <w:tcW w:w="103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1"/>
              <w:ind w:left="0" w:right="0" w:hanging="0"/>
              <w:jc w:val="center"/>
              <w:rPr/>
            </w:pPr>
            <w:r>
              <w:rPr/>
              <w:t>​</w:t>
            </w:r>
          </w:p>
        </w:tc>
        <w:tc>
          <w:tcPr>
            <w:tcW w:w="6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1"/>
              <w:ind w:left="0" w:right="0" w:hanging="0"/>
              <w:jc w:val="center"/>
              <w:rPr/>
            </w:pPr>
            <w:r>
              <w:rPr/>
              <w:t>​</w:t>
            </w:r>
          </w:p>
        </w:tc>
        <w:tc>
          <w:tcPr>
            <w:tcW w:w="60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784" w:type="dxa"/>
            <w:tcBorders/>
            <w:shd w:fill="CCEEFF" w:val="clear"/>
            <w:vAlign w:val="center"/>
          </w:tcPr>
          <w:p>
            <w:pPr>
              <w:pStyle w:val="TableContents"/>
              <w:spacing w:before="0" w:after="1"/>
              <w:ind w:left="0" w:right="0" w:hanging="0"/>
              <w:jc w:val="right"/>
              <w:rPr/>
            </w:pPr>
            <w:r>
              <w:rPr/>
              <w:t>—</w:t>
            </w:r>
          </w:p>
        </w:tc>
      </w:tr>
      <w:tr>
        <w:trPr/>
        <w:tc>
          <w:tcPr>
            <w:tcW w:w="372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Investments A, B and D in unlisted equity instruments</w:t>
            </w:r>
          </w:p>
        </w:tc>
        <w:tc>
          <w:tcPr>
            <w:tcW w:w="326" w:type="dxa"/>
            <w:tcBorders/>
            <w:shd w:fill="auto" w:val="clear"/>
            <w:vAlign w:val="center"/>
          </w:tcPr>
          <w:p>
            <w:pPr>
              <w:pStyle w:val="TableContents"/>
              <w:spacing w:before="0" w:after="1"/>
              <w:ind w:left="0" w:right="0" w:hanging="0"/>
              <w:jc w:val="center"/>
              <w:rPr/>
            </w:pPr>
            <w:r>
              <w:rPr/>
              <w:t>​</w:t>
            </w:r>
          </w:p>
        </w:tc>
        <w:tc>
          <w:tcPr>
            <w:tcW w:w="182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Net asset value</w:t>
            </w:r>
          </w:p>
        </w:tc>
        <w:tc>
          <w:tcPr>
            <w:tcW w:w="326" w:type="dxa"/>
            <w:tcBorders/>
            <w:shd w:fill="auto" w:val="clear"/>
            <w:vAlign w:val="center"/>
          </w:tcPr>
          <w:p>
            <w:pPr>
              <w:pStyle w:val="TableContents"/>
              <w:spacing w:before="0" w:after="1"/>
              <w:ind w:left="0" w:right="0" w:hanging="0"/>
              <w:jc w:val="center"/>
              <w:rPr/>
            </w:pPr>
            <w:r>
              <w:rPr/>
              <w:t>​</w:t>
            </w:r>
          </w:p>
        </w:tc>
        <w:tc>
          <w:tcPr>
            <w:tcW w:w="103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18,348</w:t>
            </w:r>
          </w:p>
        </w:tc>
        <w:tc>
          <w:tcPr>
            <w:tcW w:w="326" w:type="dxa"/>
            <w:tcBorders/>
            <w:shd w:fill="auto" w:val="clear"/>
            <w:vAlign w:val="center"/>
          </w:tcPr>
          <w:p>
            <w:pPr>
              <w:pStyle w:val="TableContents"/>
              <w:spacing w:before="0" w:after="1"/>
              <w:ind w:left="0" w:right="0" w:hanging="0"/>
              <w:jc w:val="center"/>
              <w:rPr/>
            </w:pPr>
            <w:r>
              <w:rPr/>
              <w:t>​</w:t>
            </w:r>
          </w:p>
        </w:tc>
        <w:tc>
          <w:tcPr>
            <w:tcW w:w="60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0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18,348</w:t>
            </w:r>
          </w:p>
        </w:tc>
      </w:tr>
      <w:tr>
        <w:trPr/>
        <w:tc>
          <w:tcPr>
            <w:tcW w:w="3728"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Investments C and E in unlisted equity instruments</w:t>
            </w:r>
          </w:p>
        </w:tc>
        <w:tc>
          <w:tcPr>
            <w:tcW w:w="326" w:type="dxa"/>
            <w:tcBorders/>
            <w:shd w:fill="CCEEFF" w:val="clear"/>
            <w:vAlign w:val="center"/>
          </w:tcPr>
          <w:p>
            <w:pPr>
              <w:pStyle w:val="TableContents"/>
              <w:spacing w:before="0" w:after="1"/>
              <w:ind w:left="0" w:right="0" w:hanging="0"/>
              <w:rPr/>
            </w:pPr>
            <w:r>
              <w:rPr/>
              <w:t> </w:t>
            </w:r>
          </w:p>
        </w:tc>
        <w:tc>
          <w:tcPr>
            <w:tcW w:w="182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Recent transaction price</w:t>
            </w:r>
          </w:p>
        </w:tc>
        <w:tc>
          <w:tcPr>
            <w:tcW w:w="326" w:type="dxa"/>
            <w:tcBorders/>
            <w:shd w:fill="CCEEFF" w:val="clear"/>
            <w:vAlign w:val="center"/>
          </w:tcPr>
          <w:p>
            <w:pPr>
              <w:pStyle w:val="TableContents"/>
              <w:spacing w:before="0" w:after="1"/>
              <w:ind w:left="0" w:right="0" w:hanging="0"/>
              <w:rPr/>
            </w:pPr>
            <w:r>
              <w:rPr/>
              <w:t> </w:t>
            </w:r>
          </w:p>
        </w:tc>
        <w:tc>
          <w:tcPr>
            <w:tcW w:w="103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11,500</w:t>
            </w:r>
          </w:p>
        </w:tc>
        <w:tc>
          <w:tcPr>
            <w:tcW w:w="326" w:type="dxa"/>
            <w:tcBorders/>
            <w:shd w:fill="CCEEFF" w:val="clear"/>
            <w:vAlign w:val="center"/>
          </w:tcPr>
          <w:p>
            <w:pPr>
              <w:pStyle w:val="TableContents"/>
              <w:spacing w:before="0" w:after="1"/>
              <w:ind w:left="0" w:right="0" w:hanging="0"/>
              <w:rPr/>
            </w:pPr>
            <w:r>
              <w:rPr/>
              <w:t> </w:t>
            </w:r>
          </w:p>
        </w:tc>
        <w:tc>
          <w:tcPr>
            <w:tcW w:w="60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0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11,500</w:t>
            </w:r>
          </w:p>
        </w:tc>
      </w:tr>
      <w:tr>
        <w:trPr/>
        <w:tc>
          <w:tcPr>
            <w:tcW w:w="3728"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 in unlisted debt instrument</w:t>
            </w:r>
          </w:p>
        </w:tc>
        <w:tc>
          <w:tcPr>
            <w:tcW w:w="326" w:type="dxa"/>
            <w:tcBorders/>
            <w:shd w:fill="auto" w:val="clear"/>
            <w:vAlign w:val="center"/>
          </w:tcPr>
          <w:p>
            <w:pPr>
              <w:pStyle w:val="TableContents"/>
              <w:spacing w:before="0" w:after="1"/>
              <w:ind w:left="0" w:right="0" w:hanging="0"/>
              <w:rPr/>
            </w:pPr>
            <w:r>
              <w:rPr/>
              <w:t> </w:t>
            </w:r>
          </w:p>
        </w:tc>
        <w:tc>
          <w:tcPr>
            <w:tcW w:w="182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Net asset value</w:t>
            </w:r>
          </w:p>
        </w:tc>
        <w:tc>
          <w:tcPr>
            <w:tcW w:w="326" w:type="dxa"/>
            <w:tcBorders/>
            <w:shd w:fill="auto" w:val="clear"/>
            <w:vAlign w:val="center"/>
          </w:tcPr>
          <w:p>
            <w:pPr>
              <w:pStyle w:val="TableContents"/>
              <w:spacing w:before="0" w:after="1"/>
              <w:ind w:left="0" w:right="0" w:hanging="0"/>
              <w:rPr/>
            </w:pPr>
            <w:r>
              <w:rPr/>
              <w:t> </w:t>
            </w:r>
          </w:p>
        </w:tc>
        <w:tc>
          <w:tcPr>
            <w:tcW w:w="103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31,111</w:t>
            </w:r>
          </w:p>
        </w:tc>
        <w:tc>
          <w:tcPr>
            <w:tcW w:w="326" w:type="dxa"/>
            <w:tcBorders/>
            <w:shd w:fill="auto" w:val="clear"/>
            <w:vAlign w:val="center"/>
          </w:tcPr>
          <w:p>
            <w:pPr>
              <w:pStyle w:val="TableContents"/>
              <w:spacing w:before="0" w:after="1"/>
              <w:ind w:left="0" w:right="0" w:hanging="0"/>
              <w:rPr/>
            </w:pPr>
            <w:r>
              <w:rPr/>
              <w:t> </w:t>
            </w:r>
          </w:p>
        </w:tc>
        <w:tc>
          <w:tcPr>
            <w:tcW w:w="60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0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4"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31,111</w:t>
            </w:r>
          </w:p>
        </w:tc>
      </w:tr>
    </w:tbl>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the year ended December 31, 2022, there was no </w:t>
      </w:r>
      <w:r>
        <w:rPr>
          <w:rFonts w:ascii="Times New Roman;Times;serif" w:hAnsi="Times New Roman;Times;serif"/>
          <w:b w:val="false"/>
          <w:i w:val="false"/>
          <w:caps w:val="false"/>
          <w:smallCaps w:val="false"/>
          <w:sz w:val="20"/>
        </w:rPr>
        <w:t>transfer</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between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levels</w:t>
      </w:r>
      <w:r>
        <w:rPr>
          <w:rFonts w:ascii="Times New Roman;Times;serif" w:hAnsi="Times New Roman;Times;serif"/>
          <w:sz w:val="20"/>
        </w:rPr>
        <w:t>. Transfers between levels of the fair value hierarchy, if any, are deemed to occur at the end of each reporting period. The Group did not hold any financial assets at fair value through profit or loss in the year ended December 31, 2020.</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003"/>
        <w:gridCol w:w="146"/>
        <w:gridCol w:w="783"/>
        <w:gridCol w:w="199"/>
        <w:gridCol w:w="1074"/>
      </w:tblGrid>
      <w:tr>
        <w:trPr/>
        <w:tc>
          <w:tcPr>
            <w:tcW w:w="80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081905" cy="175260"/>
                      <wp:effectExtent l="0" t="0" r="0" b="0"/>
                      <wp:wrapNone/>
                      <wp:docPr id="236" name="Frame235"/>
                      <a:graphic xmlns:a="http://schemas.openxmlformats.org/drawingml/2006/main">
                        <a:graphicData uri="http://schemas.microsoft.com/office/word/2010/wordprocessingShape">
                          <wps:wsp>
                            <wps:cNvSpPr txBox="1"/>
                            <wps:spPr>
                              <a:xfrm>
                                <a:off x="0" y="0"/>
                                <a:ext cx="5081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2710" cy="175260"/>
                      <wp:effectExtent l="0" t="0" r="0" b="0"/>
                      <wp:wrapNone/>
                      <wp:docPr id="237" name="Frame23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97205" cy="175260"/>
                      <wp:effectExtent l="0" t="0" r="0" b="0"/>
                      <wp:wrapNone/>
                      <wp:docPr id="238" name="Frame237"/>
                      <a:graphic xmlns:a="http://schemas.openxmlformats.org/drawingml/2006/main">
                        <a:graphicData uri="http://schemas.microsoft.com/office/word/2010/wordprocessingShape">
                          <wps:wsp>
                            <wps:cNvSpPr txBox="1"/>
                            <wps:spPr>
                              <a:xfrm>
                                <a:off x="0" y="0"/>
                                <a:ext cx="4972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6365" cy="175260"/>
                      <wp:effectExtent l="0" t="0" r="0" b="0"/>
                      <wp:wrapNone/>
                      <wp:docPr id="239" name="Frame238"/>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81990" cy="175260"/>
                      <wp:effectExtent l="0" t="0" r="0" b="0"/>
                      <wp:wrapNone/>
                      <wp:docPr id="240" name="Frame239"/>
                      <a:graphic xmlns:a="http://schemas.openxmlformats.org/drawingml/2006/main">
                        <a:graphicData uri="http://schemas.microsoft.com/office/word/2010/wordprocessingShape">
                          <wps:wsp>
                            <wps:cNvSpPr txBox="1"/>
                            <wps:spPr>
                              <a:xfrm>
                                <a:off x="0" y="0"/>
                                <a:ext cx="681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8003"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2056"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8003"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146" w:type="dxa"/>
            <w:tcBorders/>
            <w:shd w:fill="auto" w:val="clear"/>
            <w:vAlign w:val="center"/>
          </w:tcPr>
          <w:p>
            <w:pPr>
              <w:pStyle w:val="TableContents"/>
              <w:spacing w:before="0" w:after="1"/>
              <w:ind w:left="0" w:right="0" w:hanging="0"/>
              <w:jc w:val="center"/>
              <w:rPr/>
            </w:pPr>
            <w:r>
              <w:rPr/>
              <w:t>​</w:t>
            </w:r>
          </w:p>
        </w:tc>
        <w:tc>
          <w:tcPr>
            <w:tcW w:w="78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9" w:type="dxa"/>
            <w:tcBorders/>
            <w:shd w:fill="auto" w:val="clear"/>
            <w:vAlign w:val="center"/>
          </w:tcPr>
          <w:p>
            <w:pPr>
              <w:pStyle w:val="TableContents"/>
              <w:spacing w:before="0" w:after="1"/>
              <w:ind w:left="0" w:right="0" w:hanging="0"/>
              <w:jc w:val="center"/>
              <w:rPr/>
            </w:pPr>
            <w:r>
              <w:rPr/>
              <w:t>​</w:t>
            </w:r>
          </w:p>
        </w:tc>
        <w:tc>
          <w:tcPr>
            <w:tcW w:w="107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00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Unlisted equity instruments and debt instrument at fair value through profit or loss measured using significant unobservable inputs:</w:t>
            </w:r>
          </w:p>
        </w:tc>
        <w:tc>
          <w:tcPr>
            <w:tcW w:w="146" w:type="dxa"/>
            <w:tcBorders/>
            <w:shd w:fill="CCEEFF" w:val="clear"/>
            <w:vAlign w:val="center"/>
          </w:tcPr>
          <w:p>
            <w:pPr>
              <w:pStyle w:val="TableContents"/>
              <w:spacing w:before="0" w:after="1"/>
              <w:ind w:left="0" w:right="0" w:hanging="0"/>
              <w:rPr/>
            </w:pPr>
            <w:r>
              <w:rPr/>
              <w:t> </w:t>
            </w:r>
          </w:p>
        </w:tc>
        <w:tc>
          <w:tcPr>
            <w:tcW w:w="783" w:type="dxa"/>
            <w:tcBorders/>
            <w:shd w:fill="CCEEFF" w:val="clear"/>
            <w:vAlign w:val="center"/>
          </w:tcPr>
          <w:p>
            <w:pPr>
              <w:pStyle w:val="TableContents"/>
              <w:spacing w:before="0" w:after="1"/>
              <w:ind w:left="0" w:right="0" w:hanging="0"/>
              <w:jc w:val="right"/>
              <w:rPr/>
            </w:pPr>
            <w:r>
              <w:rPr/>
              <w:t>  </w:t>
            </w:r>
          </w:p>
        </w:tc>
        <w:tc>
          <w:tcPr>
            <w:tcW w:w="199" w:type="dxa"/>
            <w:tcBorders/>
            <w:shd w:fill="CCEEFF" w:val="clear"/>
            <w:vAlign w:val="center"/>
          </w:tcPr>
          <w:p>
            <w:pPr>
              <w:pStyle w:val="TableContents"/>
              <w:spacing w:before="0" w:after="1"/>
              <w:ind w:left="0" w:right="0" w:hanging="0"/>
              <w:rPr/>
            </w:pPr>
            <w:r>
              <w:rPr/>
              <w:t> </w:t>
            </w:r>
          </w:p>
        </w:tc>
        <w:tc>
          <w:tcPr>
            <w:tcW w:w="1074" w:type="dxa"/>
            <w:tcBorders/>
            <w:shd w:fill="CCEEFF" w:val="clear"/>
            <w:vAlign w:val="center"/>
          </w:tcPr>
          <w:p>
            <w:pPr>
              <w:pStyle w:val="TableContents"/>
              <w:spacing w:before="0" w:after="1"/>
              <w:ind w:left="0" w:right="0" w:hanging="0"/>
              <w:jc w:val="right"/>
              <w:rPr/>
            </w:pPr>
            <w:r>
              <w:rPr/>
              <w:t>  </w:t>
            </w:r>
          </w:p>
        </w:tc>
      </w:tr>
      <w:tr>
        <w:trPr/>
        <w:tc>
          <w:tcPr>
            <w:tcW w:w="800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At January 1,</w:t>
            </w:r>
          </w:p>
        </w:tc>
        <w:tc>
          <w:tcPr>
            <w:tcW w:w="146" w:type="dxa"/>
            <w:tcBorders/>
            <w:shd w:fill="auto" w:val="clear"/>
            <w:vAlign w:val="center"/>
          </w:tcPr>
          <w:p>
            <w:pPr>
              <w:pStyle w:val="TableContents"/>
              <w:spacing w:before="0" w:after="1"/>
              <w:ind w:left="0" w:right="0" w:hanging="0"/>
              <w:rPr/>
            </w:pPr>
            <w:r>
              <w:rPr/>
              <w:t> </w:t>
            </w:r>
          </w:p>
        </w:tc>
        <w:tc>
          <w:tcPr>
            <w:tcW w:w="783" w:type="dxa"/>
            <w:tcBorders/>
            <w:shd w:fill="auto" w:val="clear"/>
            <w:vAlign w:val="center"/>
          </w:tcPr>
          <w:p>
            <w:pPr>
              <w:pStyle w:val="TableContents"/>
              <w:spacing w:before="0" w:after="1"/>
              <w:ind w:left="0" w:right="0" w:hanging="0"/>
              <w:jc w:val="right"/>
              <w:rPr/>
            </w:pPr>
            <w:r>
              <w:rPr/>
              <w:t>—</w:t>
            </w:r>
          </w:p>
        </w:tc>
        <w:tc>
          <w:tcPr>
            <w:tcW w:w="199" w:type="dxa"/>
            <w:tcBorders/>
            <w:shd w:fill="auto" w:val="clear"/>
            <w:vAlign w:val="center"/>
          </w:tcPr>
          <w:p>
            <w:pPr>
              <w:pStyle w:val="TableContents"/>
              <w:spacing w:before="0" w:after="1"/>
              <w:ind w:left="0" w:right="0" w:hanging="0"/>
              <w:rPr/>
            </w:pPr>
            <w:r>
              <w:rPr/>
              <w:t> </w:t>
            </w:r>
          </w:p>
        </w:tc>
        <w:tc>
          <w:tcPr>
            <w:tcW w:w="10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800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146" w:type="dxa"/>
            <w:tcBorders/>
            <w:shd w:fill="CCEEFF" w:val="clear"/>
            <w:vAlign w:val="center"/>
          </w:tcPr>
          <w:p>
            <w:pPr>
              <w:pStyle w:val="TableContents"/>
              <w:spacing w:before="0" w:after="1"/>
              <w:ind w:left="0" w:right="0" w:hanging="0"/>
              <w:rPr/>
            </w:pPr>
            <w:r>
              <w:rPr/>
              <w:t> </w:t>
            </w:r>
          </w:p>
        </w:tc>
        <w:tc>
          <w:tcPr>
            <w:tcW w:w="78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199" w:type="dxa"/>
            <w:tcBorders/>
            <w:shd w:fill="CCEEFF" w:val="clear"/>
            <w:vAlign w:val="center"/>
          </w:tcPr>
          <w:p>
            <w:pPr>
              <w:pStyle w:val="TableContents"/>
              <w:spacing w:before="0" w:after="1"/>
              <w:ind w:left="0" w:right="0" w:hanging="0"/>
              <w:rPr/>
            </w:pPr>
            <w:r>
              <w:rPr/>
              <w:t> </w:t>
            </w:r>
          </w:p>
        </w:tc>
        <w:tc>
          <w:tcPr>
            <w:tcW w:w="10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61,550</w:t>
            </w:r>
          </w:p>
        </w:tc>
      </w:tr>
      <w:tr>
        <w:trPr/>
        <w:tc>
          <w:tcPr>
            <w:tcW w:w="800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Disposals</w:t>
            </w:r>
          </w:p>
        </w:tc>
        <w:tc>
          <w:tcPr>
            <w:tcW w:w="146" w:type="dxa"/>
            <w:tcBorders/>
            <w:shd w:fill="auto" w:val="clear"/>
            <w:vAlign w:val="center"/>
          </w:tcPr>
          <w:p>
            <w:pPr>
              <w:pStyle w:val="TableContents"/>
              <w:spacing w:before="0" w:after="1"/>
              <w:ind w:left="0" w:right="0" w:hanging="0"/>
              <w:rPr/>
            </w:pPr>
            <w:r>
              <w:rPr/>
              <w:t> </w:t>
            </w:r>
          </w:p>
        </w:tc>
        <w:tc>
          <w:tcPr>
            <w:tcW w:w="783" w:type="dxa"/>
            <w:tcBorders/>
            <w:shd w:fill="auto" w:val="clear"/>
            <w:vAlign w:val="center"/>
          </w:tcPr>
          <w:p>
            <w:pPr>
              <w:pStyle w:val="TableContents"/>
              <w:spacing w:before="0" w:after="1"/>
              <w:ind w:left="0" w:right="0" w:hanging="0"/>
              <w:jc w:val="right"/>
              <w:rPr/>
            </w:pPr>
            <w:r>
              <w:rPr/>
              <w:t>—</w:t>
            </w:r>
          </w:p>
        </w:tc>
        <w:tc>
          <w:tcPr>
            <w:tcW w:w="199" w:type="dxa"/>
            <w:tcBorders/>
            <w:shd w:fill="auto" w:val="clear"/>
            <w:vAlign w:val="center"/>
          </w:tcPr>
          <w:p>
            <w:pPr>
              <w:pStyle w:val="TableContents"/>
              <w:spacing w:before="0" w:after="1"/>
              <w:ind w:left="0" w:right="0" w:hanging="0"/>
              <w:rPr/>
            </w:pPr>
            <w:r>
              <w:rPr/>
              <w:t> </w:t>
            </w:r>
          </w:p>
        </w:tc>
        <w:tc>
          <w:tcPr>
            <w:tcW w:w="10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r>
      <w:tr>
        <w:trPr/>
        <w:tc>
          <w:tcPr>
            <w:tcW w:w="800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gain on disposal of financial assets at fair value through profit or loss</w:t>
            </w:r>
          </w:p>
        </w:tc>
        <w:tc>
          <w:tcPr>
            <w:tcW w:w="146" w:type="dxa"/>
            <w:tcBorders/>
            <w:shd w:fill="CCEEFF" w:val="clear"/>
            <w:vAlign w:val="center"/>
          </w:tcPr>
          <w:p>
            <w:pPr>
              <w:pStyle w:val="TableContents"/>
              <w:spacing w:before="0" w:after="1"/>
              <w:ind w:left="0" w:right="0" w:hanging="0"/>
              <w:rPr/>
            </w:pPr>
            <w:r>
              <w:rPr/>
              <w:t> </w:t>
            </w:r>
          </w:p>
        </w:tc>
        <w:tc>
          <w:tcPr>
            <w:tcW w:w="783" w:type="dxa"/>
            <w:tcBorders/>
            <w:shd w:fill="CCEEFF" w:val="clear"/>
            <w:vAlign w:val="center"/>
          </w:tcPr>
          <w:p>
            <w:pPr>
              <w:pStyle w:val="TableContents"/>
              <w:spacing w:before="0" w:after="1"/>
              <w:ind w:left="0" w:right="0" w:hanging="0"/>
              <w:jc w:val="right"/>
              <w:rPr/>
            </w:pPr>
            <w:r>
              <w:rPr/>
              <w:t>—</w:t>
            </w:r>
          </w:p>
        </w:tc>
        <w:tc>
          <w:tcPr>
            <w:tcW w:w="199" w:type="dxa"/>
            <w:tcBorders/>
            <w:shd w:fill="CCEEFF" w:val="clear"/>
            <w:vAlign w:val="center"/>
          </w:tcPr>
          <w:p>
            <w:pPr>
              <w:pStyle w:val="TableContents"/>
              <w:spacing w:before="0" w:after="1"/>
              <w:ind w:left="0" w:right="0" w:hanging="0"/>
              <w:rPr/>
            </w:pPr>
            <w:r>
              <w:rPr/>
              <w:t> </w:t>
            </w:r>
          </w:p>
        </w:tc>
        <w:tc>
          <w:tcPr>
            <w:tcW w:w="10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800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fair value changes recognized in profit or loss</w:t>
            </w:r>
          </w:p>
        </w:tc>
        <w:tc>
          <w:tcPr>
            <w:tcW w:w="146" w:type="dxa"/>
            <w:tcBorders/>
            <w:shd w:fill="auto" w:val="clear"/>
            <w:vAlign w:val="center"/>
          </w:tcPr>
          <w:p>
            <w:pPr>
              <w:pStyle w:val="TableContents"/>
              <w:spacing w:before="0" w:after="1"/>
              <w:ind w:left="0" w:right="0" w:hanging="0"/>
              <w:rPr/>
            </w:pPr>
            <w:r>
              <w:rPr/>
              <w:t> </w:t>
            </w:r>
          </w:p>
        </w:tc>
        <w:tc>
          <w:tcPr>
            <w:tcW w:w="78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99" w:type="dxa"/>
            <w:tcBorders/>
            <w:shd w:fill="auto" w:val="clear"/>
            <w:vAlign w:val="center"/>
          </w:tcPr>
          <w:p>
            <w:pPr>
              <w:pStyle w:val="TableContents"/>
              <w:spacing w:before="0" w:after="1"/>
              <w:ind w:left="0" w:right="0" w:hanging="0"/>
              <w:rPr/>
            </w:pPr>
            <w:r>
              <w:rPr/>
              <w:t> </w:t>
            </w:r>
          </w:p>
        </w:tc>
        <w:tc>
          <w:tcPr>
            <w:tcW w:w="10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800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At December 31,</w:t>
            </w:r>
          </w:p>
        </w:tc>
        <w:tc>
          <w:tcPr>
            <w:tcW w:w="146" w:type="dxa"/>
            <w:tcBorders/>
            <w:shd w:fill="CCEEFF" w:val="clear"/>
            <w:vAlign w:val="center"/>
          </w:tcPr>
          <w:p>
            <w:pPr>
              <w:pStyle w:val="TableContents"/>
              <w:spacing w:before="0" w:after="1"/>
              <w:ind w:left="0" w:right="0" w:hanging="0"/>
              <w:rPr/>
            </w:pPr>
            <w:r>
              <w:rPr/>
              <w:t> </w:t>
            </w:r>
          </w:p>
        </w:tc>
        <w:tc>
          <w:tcPr>
            <w:tcW w:w="78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199" w:type="dxa"/>
            <w:tcBorders/>
            <w:shd w:fill="CCEEFF" w:val="clear"/>
            <w:vAlign w:val="center"/>
          </w:tcPr>
          <w:p>
            <w:pPr>
              <w:pStyle w:val="TableContents"/>
              <w:spacing w:before="0" w:after="1"/>
              <w:ind w:left="0" w:right="0" w:hanging="0"/>
              <w:rPr/>
            </w:pPr>
            <w:r>
              <w:rPr/>
              <w:t> </w:t>
            </w:r>
          </w:p>
        </w:tc>
        <w:tc>
          <w:tcPr>
            <w:tcW w:w="1074"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60,959</w:t>
            </w:r>
          </w:p>
        </w:tc>
      </w:tr>
    </w:tbl>
    <w:p>
      <w:pPr>
        <w:pStyle w:val="TextBody"/>
        <w:spacing w:before="0" w:after="240"/>
        <w:ind w:left="0" w:right="0" w:firstLine="360"/>
        <w:jc w:val="both"/>
        <w:rPr/>
      </w:pPr>
      <w:r>
        <w:rPr/>
        <w:t>​</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0"/>
        <w:ind w:left="0" w:right="0" w:hanging="0"/>
        <w:rPr>
          <w:rFonts w:ascii="Times New Roman;Times;serif" w:hAnsi="Times New Roman;Times;serif"/>
          <w:sz w:val="20"/>
        </w:rPr>
      </w:pPr>
      <w:bookmarkStart w:id="990" w:name="Tc_mNWJQ9cl7ES-pww7eMiNwQ_6_0"/>
      <w:bookmarkStart w:id="991" w:name="Tc_R3C629xm6EiGmxwCuzeyyg_5_0"/>
      <w:bookmarkStart w:id="992" w:name="Tc_rWB5qBnEX0O7ZvIL6wdnDA_4_0"/>
      <w:bookmarkStart w:id="993" w:name="Tc_0bQ8Rl1jekuZw3kijgZUIw_3_0"/>
      <w:bookmarkStart w:id="994" w:name="Tc_XVVWds9MakOyHEkToTEQiA_2_2"/>
      <w:bookmarkStart w:id="995" w:name="Tc_ezFQxpIFk0CJ_hbqdg5tHg_2_0"/>
      <w:bookmarkStart w:id="996" w:name="Tc_vZurGdQW3023yJT6B_ShbQ_1_2"/>
      <w:bookmarkStart w:id="997" w:name="Tc_LpWUMcKDdEm5jeWbZOK1aw_1_0"/>
      <w:bookmarkStart w:id="998" w:name="_a0cacb15_ac42_4fac_84ca_c41f638c33c9"/>
      <w:bookmarkStart w:id="999" w:name="Tc_X8jl_E3xlUmY4_amu26_Kw_6_0"/>
      <w:bookmarkStart w:id="1000" w:name="Tc_e6VEsYMWTkaXNzyCn1j2IA_5_0"/>
      <w:bookmarkStart w:id="1001" w:name="Tc_fGNVKKnUbUCz3su7UvQr2w_4_0"/>
      <w:bookmarkStart w:id="1002" w:name="Tc_c3CEwJEKskGvk6vlHJWUbA_3_0"/>
      <w:bookmarkStart w:id="1003" w:name="Tc_UZriLPsgYkeaCALp7TxeaQ_2_2"/>
      <w:bookmarkStart w:id="1004" w:name="Tc_mJ1hDgiMGU2Z2KIUCTMUCw_2_0"/>
      <w:bookmarkStart w:id="1005" w:name="Tc_gdaJBjgxd0mPHBCQs5pESQ_1_2"/>
      <w:bookmarkStart w:id="1006" w:name="Tc_Wu8LZpvRYUeTkllm8znkUg_1_0"/>
      <w:bookmarkStart w:id="1007" w:name="_5b3adb55_abf6_4f58_8dbd_69d94081cc07"/>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Pr>
          <w:rFonts w:ascii="Times New Roman;Times;serif" w:hAnsi="Times New Roman;Times;serif"/>
          <w:b/>
          <w:i w:val="false"/>
          <w:caps w:val="false"/>
          <w:smallCaps w:val="false"/>
          <w:sz w:val="20"/>
        </w:rPr>
        <w:t>5.</w:t>
      </w:r>
      <w:r>
        <w:rPr>
          <w:rFonts w:ascii="Times New Roman;Times;serif" w:hAnsi="Times New Roman;Times;serif"/>
          <w:b/>
          <w:sz w:val="20"/>
        </w:rPr>
        <w:t>ASSET ACQUISITION</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On June 17, 2022, the Group entered into a sale and purchase agreement with Worldwide VGS B.V. and Yves Charles Edgar Bouvier, the ultimate beneficial owner of Worldwide VGS B.V., pursuant to which the Group agreed to purchase the 100% equity interest of Asia Freeport Holdings Pte. Ltd. and its subsidiaries (collectively, “AFH”), which was previously controlled by Worldwide VGS B.V., and the sculpture “Cage Sans Frontieres” created by Ron Arad, which was previously owned by Yves Charles Edgar Bouvier. The acquisition was closed on July 1, 2022.</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the sculpture was placed in an investment property building owned by AFH and cannot be removed or used separately without incurring significant costs, the sculpture is considered attached to the building of AFH. In addition, because Yves Charles Edgar Bouvier is the ultimate beneficial owner of Worldwide VGS B.V., the acquisition of AFH and the sculpture is treated as a single transaction. AFH is based in Singapore and conducts business in providing leases to customers. This transaction has been accounted for as an asset acquisition as the optional concentration test under IFRS 3 has been met.</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total purchase consideration of approximately US$27 million consisted of cash payment of approximately US$6 million and settlement of liabilities in the amount of approximately US$21 million. The Group has measured the group of assets and liabilities acquired based on their fair value at the date of the transaction and allocated the purchase consideration of the group of assets and liabilities to the individual identifiable assets and liabilities acquired on the basis of their relative fair value at the date of purchase.</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Details of the net identifiable assets acquired, and purchase consideration are as follows:</w:t>
      </w:r>
    </w:p>
    <w:p>
      <w:pPr>
        <w:pStyle w:val="TextBody"/>
        <w:spacing w:before="0" w:after="0"/>
        <w:ind w:left="0" w:right="0" w:hanging="0"/>
        <w:rPr/>
      </w:pPr>
      <w:r>
        <w:rPr/>
        <w:t>​</w:t>
      </w:r>
    </w:p>
    <w:tbl>
      <w:tblPr>
        <w:tblW w:w="3133" w:type="dxa"/>
        <w:jc w:val="left"/>
        <w:tblInd w:w="0" w:type="dxa"/>
        <w:tblCellMar>
          <w:top w:w="0" w:type="dxa"/>
          <w:left w:w="0" w:type="dxa"/>
          <w:bottom w:w="0" w:type="dxa"/>
          <w:right w:w="0" w:type="dxa"/>
        </w:tblCellMar>
      </w:tblPr>
      <w:tblGrid>
        <w:gridCol w:w="1936"/>
        <w:gridCol w:w="326"/>
        <w:gridCol w:w="871"/>
      </w:tblGrid>
      <w:tr>
        <w:trPr/>
        <w:tc>
          <w:tcPr>
            <w:tcW w:w="1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29360" cy="175260"/>
                      <wp:effectExtent l="0" t="0" r="0" b="0"/>
                      <wp:wrapNone/>
                      <wp:docPr id="241" name="Frame240"/>
                      <a:graphic xmlns:a="http://schemas.openxmlformats.org/drawingml/2006/main">
                        <a:graphicData uri="http://schemas.microsoft.com/office/word/2010/wordprocessingShape">
                          <wps:wsp>
                            <wps:cNvSpPr txBox="1"/>
                            <wps:spPr>
                              <a:xfrm>
                                <a:off x="0" y="0"/>
                                <a:ext cx="1229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53085" cy="175260"/>
                      <wp:effectExtent l="0" t="0" r="0" b="0"/>
                      <wp:wrapNone/>
                      <wp:docPr id="243" name="Frame242"/>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3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identifiable assets</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July 1,</w:t>
            </w:r>
          </w:p>
        </w:tc>
      </w:tr>
      <w:tr>
        <w:trPr/>
        <w:tc>
          <w:tcPr>
            <w:tcW w:w="193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bottom w:val="single" w:sz="2" w:space="0" w:color="231F2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properties</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34,986</w:t>
            </w:r>
          </w:p>
        </w:tc>
      </w:tr>
      <w:tr>
        <w:trPr/>
        <w:tc>
          <w:tcPr>
            <w:tcW w:w="19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19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r>
      <w:tr>
        <w:trPr/>
        <w:tc>
          <w:tcPr>
            <w:tcW w:w="19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identifiable assets</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26,788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tbl>
      <w:tblPr>
        <w:tblW w:w="3283" w:type="dxa"/>
        <w:jc w:val="left"/>
        <w:tblInd w:w="0" w:type="dxa"/>
        <w:tblCellMar>
          <w:top w:w="0" w:type="dxa"/>
          <w:left w:w="0" w:type="dxa"/>
          <w:bottom w:w="0" w:type="dxa"/>
          <w:right w:w="0" w:type="dxa"/>
        </w:tblCellMar>
      </w:tblPr>
      <w:tblGrid>
        <w:gridCol w:w="2086"/>
        <w:gridCol w:w="326"/>
        <w:gridCol w:w="871"/>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24610" cy="175260"/>
                      <wp:effectExtent l="0" t="0" r="0" b="0"/>
                      <wp:wrapNone/>
                      <wp:docPr id="244" name="Frame243"/>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53085" cy="175260"/>
                      <wp:effectExtent l="0" t="0" r="0" b="0"/>
                      <wp:wrapNone/>
                      <wp:docPr id="246" name="Frame24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Purchase consideration </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July 1,</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bottom w:val="single" w:sz="2" w:space="0" w:color="231F2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 paid</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 settled</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21,107</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 costs</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Total consideration </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26,788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08" w:name="Tc_4xKlsn3K5EqlhvLGHSEuGg_11_0"/>
      <w:bookmarkStart w:id="1009" w:name="Tc_Nan--eoPvkyTyIsE1He4BA_10_0"/>
      <w:bookmarkStart w:id="1010" w:name="Tc_rewMze5t20uJAgEpTJmN9A_9_0"/>
      <w:bookmarkStart w:id="1011" w:name="Tc_eb8VhFiLBUCTX35dIXOPTQ_8_2"/>
      <w:bookmarkStart w:id="1012" w:name="Tc_4iGclSzOvku1ymIxK0bGSg_8_0"/>
      <w:bookmarkStart w:id="1013" w:name="Tc_haUB2t7-NkSWYIdCA2hpEg_7_0"/>
      <w:bookmarkStart w:id="1014" w:name="Tc_2IZF2SqwHUKkeHAKPwwk5Q_6_0"/>
      <w:bookmarkStart w:id="1015" w:name="Tc_ThvOp7wlO0KXe7n2zOoW2g_5_0"/>
      <w:bookmarkStart w:id="1016" w:name="Tc_txvK-A4700KXWNU3qY7jqQ_4_0"/>
      <w:bookmarkStart w:id="1017" w:name="Tc_AMToljTmWE-fO04sdjnQ3g_3_0"/>
      <w:bookmarkStart w:id="1018" w:name="Tc_hroHytwtl0mOer32KT5t5Q_2_4"/>
      <w:bookmarkStart w:id="1019" w:name="Tc_dXS_-y9QOEKWwknpzUGUKA_2_2"/>
      <w:bookmarkStart w:id="1020" w:name="Tc_QTsUGEaLHkyrfOLCgpMByA_2_0"/>
      <w:bookmarkStart w:id="1021" w:name="Tc_U45KM-gia0yzePBV0cSoJg_1_2"/>
      <w:bookmarkStart w:id="1022" w:name="_b78c426d_530e_4905_a5f7_7655f1edc080"/>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r>
        <w:rPr>
          <w:rFonts w:ascii="Times New Roman;Times;serif" w:hAnsi="Times New Roman;Times;serif"/>
          <w:b/>
          <w:i w:val="false"/>
          <w:caps w:val="false"/>
          <w:smallCaps w:val="false"/>
          <w:sz w:val="20"/>
        </w:rPr>
        <w:t>6.</w:t>
      </w:r>
      <w:r>
        <w:rPr>
          <w:rFonts w:ascii="Times New Roman;Times;serif" w:hAnsi="Times New Roman;Times;serif"/>
          <w:b/>
          <w:sz w:val="20"/>
        </w:rPr>
        <w:t>CASH, CASH EQUIVALENTS AND RESTRICTED CASH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breakdown of cash and cash equivalents is as follows:</w:t>
      </w:r>
    </w:p>
    <w:tbl>
      <w:tblPr>
        <w:tblW w:w="6115" w:type="dxa"/>
        <w:jc w:val="left"/>
        <w:tblInd w:w="0" w:type="dxa"/>
        <w:tblCellMar>
          <w:top w:w="0" w:type="dxa"/>
          <w:left w:w="0" w:type="dxa"/>
          <w:bottom w:w="0" w:type="dxa"/>
          <w:right w:w="0" w:type="dxa"/>
        </w:tblCellMar>
      </w:tblPr>
      <w:tblGrid>
        <w:gridCol w:w="3856"/>
        <w:gridCol w:w="326"/>
        <w:gridCol w:w="781"/>
        <w:gridCol w:w="326"/>
        <w:gridCol w:w="826"/>
      </w:tblGrid>
      <w:tr>
        <w:trPr/>
        <w:tc>
          <w:tcPr>
            <w:tcW w:w="3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48560" cy="175260"/>
                      <wp:effectExtent l="0" t="0" r="0" b="0"/>
                      <wp:wrapNone/>
                      <wp:docPr id="247" name="Frame246"/>
                      <a:graphic xmlns:a="http://schemas.openxmlformats.org/drawingml/2006/main">
                        <a:graphicData uri="http://schemas.microsoft.com/office/word/2010/wordprocessingShape">
                          <wps:wsp>
                            <wps:cNvSpPr txBox="1"/>
                            <wps:spPr>
                              <a:xfrm>
                                <a:off x="0" y="0"/>
                                <a:ext cx="2448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24510" cy="175260"/>
                      <wp:effectExtent l="0" t="0" r="0" b="0"/>
                      <wp:wrapNone/>
                      <wp:docPr id="251" name="Frame250"/>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3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385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5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US dollar</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368,115</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211,253</w:t>
            </w:r>
          </w:p>
        </w:tc>
      </w:tr>
      <w:tr>
        <w:trPr/>
        <w:tc>
          <w:tcPr>
            <w:tcW w:w="385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Singapore dollar</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2,829</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r>
      <w:tr>
        <w:trPr/>
        <w:tc>
          <w:tcPr>
            <w:tcW w:w="385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Chinese renminbi</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2,484</w:t>
            </w:r>
          </w:p>
        </w:tc>
      </w:tr>
      <w:tr>
        <w:trPr/>
        <w:tc>
          <w:tcPr>
            <w:tcW w:w="385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Norwegian krone</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1,104</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12,589</w:t>
            </w:r>
          </w:p>
        </w:tc>
      </w:tr>
      <w:tr>
        <w:trPr/>
        <w:tc>
          <w:tcPr>
            <w:tcW w:w="385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Euro</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2,791</w:t>
            </w:r>
          </w:p>
        </w:tc>
      </w:tr>
      <w:tr>
        <w:trPr/>
        <w:tc>
          <w:tcPr>
            <w:tcW w:w="385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Hongkong dollar</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85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cash and cash equivalents by currency</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372,088</w:t>
            </w:r>
          </w:p>
        </w:tc>
        <w:tc>
          <w:tcPr>
            <w:tcW w:w="326" w:type="dxa"/>
            <w:tcBorders/>
            <w:shd w:fill="CCEEFF" w:val="clear"/>
            <w:vAlign w:val="center"/>
          </w:tcPr>
          <w:p>
            <w:pPr>
              <w:pStyle w:val="TableContents"/>
              <w:spacing w:before="0" w:after="1"/>
              <w:ind w:left="0" w:right="0" w:hanging="0"/>
              <w:rPr/>
            </w:pPr>
            <w:r>
              <w:rPr/>
              <w:t> </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231,362</w:t>
            </w:r>
          </w:p>
        </w:tc>
      </w:tr>
      <w:tr>
        <w:trPr/>
        <w:tc>
          <w:tcPr>
            <w:tcW w:w="385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10,310</w:t>
            </w:r>
          </w:p>
        </w:tc>
        <w:tc>
          <w:tcPr>
            <w:tcW w:w="326" w:type="dxa"/>
            <w:tcBorders/>
            <w:shd w:fill="auto" w:val="cle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11,494</w:t>
            </w:r>
          </w:p>
        </w:tc>
      </w:tr>
      <w:tr>
        <w:trPr/>
        <w:tc>
          <w:tcPr>
            <w:tcW w:w="385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restricted cash</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10,310</w:t>
            </w:r>
          </w:p>
        </w:tc>
        <w:tc>
          <w:tcPr>
            <w:tcW w:w="326" w:type="dxa"/>
            <w:tcBorders/>
            <w:shd w:fill="CCEEFF" w:val="clear"/>
            <w:vAlign w:val="center"/>
          </w:tcPr>
          <w:p>
            <w:pPr>
              <w:pStyle w:val="TableContents"/>
              <w:spacing w:before="0" w:after="1"/>
              <w:ind w:left="0" w:right="0" w:hanging="0"/>
              <w:rPr/>
            </w:pPr>
            <w:r>
              <w:rPr/>
              <w:t> </w:t>
            </w:r>
          </w:p>
        </w:tc>
        <w:tc>
          <w:tcPr>
            <w:tcW w:w="82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11,494</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bookmarkStart w:id="1023" w:name="Tc_6pL8AUZqeE2Ajlu3yB_E-g_4_4"/>
      <w:bookmarkStart w:id="1024" w:name="Tc_dKN64X6nVU24S8lOecVcIg_4_2"/>
      <w:bookmarkStart w:id="1025" w:name="Tc_l2xYr76hPUeQAPeM1auq4Q_4_0"/>
      <w:bookmarkStart w:id="1026" w:name="Tc_Ko32vYMOnEygmNXIW3b5-w_3_0"/>
      <w:bookmarkStart w:id="1027" w:name="Tc_aIJUUX11b06lsGI2IFqqCA_2_4"/>
      <w:bookmarkStart w:id="1028" w:name="Tc_HBNIfiv2vEqT4k5uL2wNag_2_2"/>
      <w:bookmarkStart w:id="1029" w:name="Tc_hUgyvqVr90aEaEW_86557Q_1_2"/>
      <w:bookmarkEnd w:id="1023"/>
      <w:bookmarkEnd w:id="1024"/>
      <w:bookmarkEnd w:id="1025"/>
      <w:bookmarkEnd w:id="1026"/>
      <w:bookmarkEnd w:id="1027"/>
      <w:bookmarkEnd w:id="1028"/>
      <w:bookmarkEnd w:id="1029"/>
      <w:r>
        <w:rPr>
          <w:rFonts w:ascii="Times New Roman;Times;serif" w:hAnsi="Times New Roman;Times;serif"/>
          <w:sz w:val="20"/>
        </w:rPr>
        <w:t>As of December 31, 2022 the Group owned short-term deposits, which were classified as cash equivalents, in an amount of approximately US$37 million with maturities ranging from January to February 2023, and interest ranging from 0.6% to 4.2%. The Group did not own any such short-term deposits as of December 31,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restricted cash primarily relates to the application of standby letters of credit. The Group has applied a total of three standby letters of credits (“SLCs”) from the Signature Bank and CTBC Bank associated with property leased and electricity service subscribed. The SLCs provide the beneficiaries, which are the service providers, the ability to draw from the banks for a designated maximum aggregate amount (the “Draw Amount”). The details of SLCs are as follows:</w:t>
      </w:r>
    </w:p>
    <w:p>
      <w:pPr>
        <w:pStyle w:val="TextBody"/>
        <w:spacing w:before="0" w:after="0"/>
        <w:ind w:left="0" w:right="0" w:hanging="0"/>
        <w:rPr/>
      </w:pPr>
      <w:r>
        <w:rPr/>
        <w:t>​</w:t>
      </w:r>
    </w:p>
    <w:tbl>
      <w:tblPr>
        <w:tblW w:w="7855" w:type="dxa"/>
        <w:jc w:val="left"/>
        <w:tblInd w:w="0" w:type="dxa"/>
        <w:tblCellMar>
          <w:top w:w="0" w:type="dxa"/>
          <w:left w:w="0" w:type="dxa"/>
          <w:bottom w:w="0" w:type="dxa"/>
          <w:right w:w="0" w:type="dxa"/>
        </w:tblCellMar>
      </w:tblPr>
      <w:tblGrid>
        <w:gridCol w:w="3076"/>
        <w:gridCol w:w="326"/>
        <w:gridCol w:w="2011"/>
        <w:gridCol w:w="326"/>
        <w:gridCol w:w="2116"/>
      </w:tblGrid>
      <w:tr>
        <w:trPr/>
        <w:tc>
          <w:tcPr>
            <w:tcW w:w="30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953260" cy="175260"/>
                      <wp:effectExtent l="0" t="0" r="0" b="0"/>
                      <wp:wrapNone/>
                      <wp:docPr id="252" name="Frame251"/>
                      <a:graphic xmlns:a="http://schemas.openxmlformats.org/drawingml/2006/main">
                        <a:graphicData uri="http://schemas.microsoft.com/office/word/2010/wordprocessingShape">
                          <wps:wsp>
                            <wps:cNvSpPr txBox="1"/>
                            <wps:spPr>
                              <a:xfrm>
                                <a:off x="0" y="0"/>
                                <a:ext cx="1953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76985" cy="175260"/>
                      <wp:effectExtent l="0" t="0" r="0" b="0"/>
                      <wp:wrapNone/>
                      <wp:docPr id="254" name="Frame253"/>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43660" cy="175260"/>
                      <wp:effectExtent l="0" t="0" r="0" b="0"/>
                      <wp:wrapNone/>
                      <wp:docPr id="256" name="Frame255"/>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4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1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Draw Amount (In thousands of USD)</w:t>
            </w:r>
          </w:p>
        </w:tc>
        <w:tc>
          <w:tcPr>
            <w:tcW w:w="326" w:type="dxa"/>
            <w:tcBorders/>
            <w:shd w:fill="CCEEFF" w:val="clear"/>
            <w:vAlign w:val="center"/>
          </w:tcPr>
          <w:p>
            <w:pPr>
              <w:pStyle w:val="TableContents"/>
              <w:spacing w:before="0" w:after="1"/>
              <w:ind w:left="0" w:right="0" w:hanging="0"/>
              <w:rPr/>
            </w:pPr>
            <w:r>
              <w:rPr/>
              <w:t>    </w:t>
            </w:r>
          </w:p>
        </w:tc>
        <w:tc>
          <w:tcPr>
            <w:tcW w:w="20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10,293</w:t>
            </w:r>
          </w:p>
        </w:tc>
        <w:tc>
          <w:tcPr>
            <w:tcW w:w="326" w:type="dxa"/>
            <w:tcBorders/>
            <w:shd w:fill="CCEEFF" w:val="clear"/>
            <w:vAlign w:val="center"/>
          </w:tcPr>
          <w:p>
            <w:pPr>
              <w:pStyle w:val="TableContents"/>
              <w:spacing w:before="0" w:after="1"/>
              <w:ind w:left="0" w:right="0" w:hanging="0"/>
              <w:rPr/>
            </w:pPr>
            <w:r>
              <w:rPr/>
              <w:t>    </w:t>
            </w:r>
          </w:p>
        </w:tc>
        <w:tc>
          <w:tcPr>
            <w:tcW w:w="21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11,477</w:t>
            </w:r>
          </w:p>
        </w:tc>
      </w:tr>
      <w:tr>
        <w:trPr/>
        <w:tc>
          <w:tcPr>
            <w:tcW w:w="307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Range of expiration dates </w:t>
            </w:r>
          </w:p>
        </w:tc>
        <w:tc>
          <w:tcPr>
            <w:tcW w:w="326" w:type="dxa"/>
            <w:tcBorders/>
            <w:shd w:fill="auto" w:val="clear"/>
            <w:vAlign w:val="center"/>
          </w:tcPr>
          <w:p>
            <w:pPr>
              <w:pStyle w:val="TableContents"/>
              <w:spacing w:before="0" w:after="1"/>
              <w:ind w:left="0" w:right="0" w:hanging="0"/>
              <w:rPr/>
            </w:pPr>
            <w:r>
              <w:rPr/>
              <w:t> </w:t>
            </w:r>
          </w:p>
        </w:tc>
        <w:tc>
          <w:tcPr>
            <w:tcW w:w="20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July 2022 to June 2025</w:t>
            </w:r>
          </w:p>
        </w:tc>
        <w:tc>
          <w:tcPr>
            <w:tcW w:w="326" w:type="dxa"/>
            <w:tcBorders/>
            <w:shd w:fill="auto" w:val="clear"/>
            <w:vAlign w:val="center"/>
          </w:tcPr>
          <w:p>
            <w:pPr>
              <w:pStyle w:val="TableContents"/>
              <w:spacing w:before="0" w:after="1"/>
              <w:ind w:left="0" w:right="0" w:hanging="0"/>
              <w:rPr/>
            </w:pPr>
            <w:r>
              <w:rPr/>
              <w:t> </w:t>
            </w:r>
          </w:p>
        </w:tc>
        <w:tc>
          <w:tcPr>
            <w:tcW w:w="211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July 2023 to June 2025</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amount and expiration dates of the SLCs are amended, from time to time, by the Group and beneficiaries, as a result of the amendments to the associated service agreements. In connection with the issuance of the SLCs, the banks held the Group’s cash balance equal to the Draw Amount as security. As of December 31, 2021 and 2022, none was utilized by the beneficiaries from the standby letters of credits.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30" w:name="Tc_lZW6yHg4o0uuk32dzG-ExA_20_0"/>
      <w:bookmarkStart w:id="1031" w:name="Tc_W83XSi59YEKYgshtCiN8tg_19_0"/>
      <w:bookmarkStart w:id="1032" w:name="Tc_3T9h2S6y9ka9_AypCjLZog_18_0"/>
      <w:bookmarkStart w:id="1033" w:name="Tc_ZYja1dehZkifQNhwGaUcKQ_17_0"/>
      <w:bookmarkStart w:id="1034" w:name="Tc_n5bAX2UOQ06JHpbMcgH_iA_16_4"/>
      <w:bookmarkStart w:id="1035" w:name="Tc_RBMJ7-4q2EuDtWFLoZGmKA_16_0"/>
      <w:bookmarkStart w:id="1036" w:name="Tc_0NSIVomNQ0C_MOXF1xow9g_15_6"/>
      <w:bookmarkStart w:id="1037" w:name="Tc_LwNAmReJkUG-F1a4VM9N1Q_15_2"/>
      <w:bookmarkStart w:id="1038" w:name="Tc_di2-R--yHECscX57P-CfJg_15_0"/>
      <w:bookmarkStart w:id="1039" w:name="Tc_e1kkXuqUskuh4oSnrMDcfA_14_0"/>
      <w:bookmarkStart w:id="1040" w:name="Tc_3J5P-M54nUeK7-N2f08T2w_13_0"/>
      <w:bookmarkStart w:id="1041" w:name="Tc_t0bmkrDUdk25KsHO8qRuLw_12_0"/>
      <w:bookmarkStart w:id="1042" w:name="Tc_KzS2iWZgz0qFgwwygdJkSw_11_2"/>
      <w:bookmarkStart w:id="1043" w:name="Tc_vXzeWyqG90OfPt2f1ZTiyw_11_0"/>
      <w:bookmarkStart w:id="1044" w:name="Tc_Yh9TqA4jIUCuOSvK8dvIsQ_10_2"/>
      <w:bookmarkStart w:id="1045" w:name="Tc_B1yaj61cm0OlOfLvph4W4g_10_0"/>
      <w:bookmarkStart w:id="1046" w:name="Tc_hNwLWQXspE6_5AME0tuPlw_9_6"/>
      <w:bookmarkStart w:id="1047" w:name="Tc_0_ggbdHGeUumgXA_-2HaGQ_9_2"/>
      <w:bookmarkStart w:id="1048" w:name="Tc_HkVDdFRDsUalknqHXtnl9w_9_0"/>
      <w:bookmarkStart w:id="1049" w:name="Tc_A4OFS6ga-kWZ1DTPG8l_xg_8_0"/>
      <w:bookmarkStart w:id="1050" w:name="Tc_5PtcKC9p1k6HbVj5byAs4A_7_6"/>
      <w:bookmarkStart w:id="1051" w:name="Tc_g1R4NA-DtE-bzwdklcCUKw_7_2"/>
      <w:bookmarkStart w:id="1052" w:name="Tc_MarKI9OGh02mjO-z5YUZyg_7_0"/>
      <w:bookmarkStart w:id="1053" w:name="Tc__Xzi5ogrNkepscL2Ih07dg_6_6"/>
      <w:bookmarkStart w:id="1054" w:name="Tc_IfDijFwDtkqXEymTlFNFDg_6_4"/>
      <w:bookmarkStart w:id="1055" w:name="Tc_Y8REpu2FV0iOijeMbXHw5g_6_0"/>
      <w:bookmarkStart w:id="1056" w:name="Tc_p61Oy8fakUC2lI7cl1V5rg_5_0"/>
      <w:bookmarkStart w:id="1057" w:name="Tc_fbcUCtLpfUKszleVtky-qQ_4_0"/>
      <w:bookmarkStart w:id="1058" w:name="Tc_fp85m8V2WUmIHNwFmnu0FQ_3_0"/>
      <w:bookmarkStart w:id="1059" w:name="Tc_X3JxmY5A4kW9x0gUvpZ4xw_2_6"/>
      <w:bookmarkStart w:id="1060" w:name="Tc_Ask9PNB1UU2jhedlaLoTGA_2_4"/>
      <w:bookmarkStart w:id="1061" w:name="Tc_XXPlMHh6q0eViNVHm-NNaA_2_2"/>
      <w:bookmarkStart w:id="1062" w:name="Tc_UmtzbkDCx0mFdggELk2qzQ_2_0"/>
      <w:bookmarkStart w:id="1063" w:name="Tc_uzeHWGmC-kKN1en9GIrZcw_1_2"/>
      <w:bookmarkStart w:id="1064" w:name="_b50385f3_682f_45c6_b0d0_0f8be5f1e5a2"/>
      <w:bookmarkStart w:id="1065" w:name="Tc_NynXrRq_pUi91io2knIiiw_5_0"/>
      <w:bookmarkStart w:id="1066" w:name="Tc_b2ZeB_AKi0WLIIDX3I8dJA_4_0"/>
      <w:bookmarkStart w:id="1067" w:name="Tc_oYJwtnGn-U-jbCBVUCxe4w_3_0"/>
      <w:bookmarkStart w:id="1068" w:name="Tc_UR4hx897JUqBEgrzNL623g_2_4"/>
      <w:bookmarkStart w:id="1069" w:name="Tc_vr84Ri-Xc0Kmn28vq21SAw_2_2"/>
      <w:bookmarkStart w:id="1070" w:name="Tc_NMiccOlLhU-Pm8jhsTCueQ_2_0"/>
      <w:bookmarkStart w:id="1071" w:name="Tc_4NzQ1SemXkqmGef_M2TR2g_1_2"/>
      <w:bookmarkStart w:id="1072" w:name="_3847f1b9_71c8_42ee_b169_76ddab531c8c"/>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rFonts w:ascii="Times New Roman;Times;serif" w:hAnsi="Times New Roman;Times;serif"/>
          <w:b/>
          <w:i w:val="false"/>
          <w:caps w:val="false"/>
          <w:smallCaps w:val="false"/>
          <w:sz w:val="20"/>
        </w:rPr>
        <w:t>7.</w:t>
      </w:r>
      <w:r>
        <w:rPr>
          <w:rFonts w:ascii="Times New Roman;Times;serif" w:hAnsi="Times New Roman;Times;serif"/>
          <w:b/>
          <w:sz w:val="20"/>
        </w:rPr>
        <w:t>CRYPTOCURRENCIES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the Group’s cryptocurrencies consist of the following:</w:t>
      </w:r>
    </w:p>
    <w:tbl>
      <w:tblPr>
        <w:tblW w:w="4660" w:type="dxa"/>
        <w:jc w:val="left"/>
        <w:tblInd w:w="0" w:type="dxa"/>
        <w:tblCellMar>
          <w:top w:w="0" w:type="dxa"/>
          <w:left w:w="0" w:type="dxa"/>
          <w:bottom w:w="0" w:type="dxa"/>
          <w:right w:w="0" w:type="dxa"/>
        </w:tblCellMar>
      </w:tblPr>
      <w:tblGrid>
        <w:gridCol w:w="2941"/>
        <w:gridCol w:w="326"/>
        <w:gridCol w:w="571"/>
        <w:gridCol w:w="146"/>
        <w:gridCol w:w="676"/>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67535" cy="175260"/>
                      <wp:effectExtent l="0" t="0" r="0" b="0"/>
                      <wp:wrapNone/>
                      <wp:docPr id="257" name="Frame256"/>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62585" cy="175260"/>
                      <wp:effectExtent l="0" t="0" r="0" b="0"/>
                      <wp:wrapNone/>
                      <wp:docPr id="259" name="Frame25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2710" cy="175260"/>
                      <wp:effectExtent l="0" t="0" r="0" b="0"/>
                      <wp:wrapNone/>
                      <wp:docPr id="260" name="Frame25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294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4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Cryptocurrencies other than USDC</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6,088</w:t>
            </w:r>
          </w:p>
        </w:tc>
        <w:tc>
          <w:tcPr>
            <w:tcW w:w="14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2,086</w:t>
            </w:r>
          </w:p>
        </w:tc>
      </w:tr>
      <w:tr>
        <w:trPr/>
        <w:tc>
          <w:tcPr>
            <w:tcW w:w="294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USDC</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4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294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cryptocurrencies</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6,187</w:t>
            </w:r>
          </w:p>
        </w:tc>
        <w:tc>
          <w:tcPr>
            <w:tcW w:w="14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2,175</w:t>
            </w:r>
          </w:p>
        </w:tc>
      </w:tr>
    </w:tbl>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details of cryptocurrencies are as follows:</w:t>
      </w:r>
    </w:p>
    <w:tbl>
      <w:tblPr>
        <w:tblW w:w="10205" w:type="dxa"/>
        <w:jc w:val="left"/>
        <w:tblInd w:w="0" w:type="dxa"/>
        <w:tblCellMar>
          <w:top w:w="0" w:type="dxa"/>
          <w:left w:w="0" w:type="dxa"/>
          <w:bottom w:w="0" w:type="dxa"/>
          <w:right w:w="0" w:type="dxa"/>
        </w:tblCellMar>
      </w:tblPr>
      <w:tblGrid>
        <w:gridCol w:w="6502"/>
        <w:gridCol w:w="326"/>
        <w:gridCol w:w="893"/>
        <w:gridCol w:w="326"/>
        <w:gridCol w:w="893"/>
        <w:gridCol w:w="326"/>
        <w:gridCol w:w="939"/>
      </w:tblGrid>
      <w:tr>
        <w:trPr/>
        <w:tc>
          <w:tcPr>
            <w:tcW w:w="65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128770" cy="175260"/>
                      <wp:effectExtent l="0" t="0" r="0" b="0"/>
                      <wp:wrapNone/>
                      <wp:docPr id="262" name="Frame261"/>
                      <a:graphic xmlns:a="http://schemas.openxmlformats.org/drawingml/2006/main">
                        <a:graphicData uri="http://schemas.microsoft.com/office/word/2010/wordprocessingShape">
                          <wps:wsp>
                            <wps:cNvSpPr txBox="1"/>
                            <wps:spPr>
                              <a:xfrm>
                                <a:off x="0" y="0"/>
                                <a:ext cx="4128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67055" cy="175260"/>
                      <wp:effectExtent l="0" t="0" r="0" b="0"/>
                      <wp:wrapNone/>
                      <wp:docPr id="264" name="Frame263"/>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67055" cy="175260"/>
                      <wp:effectExtent l="0" t="0" r="0" b="0"/>
                      <wp:wrapNone/>
                      <wp:docPr id="266" name="Frame265"/>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96265" cy="175260"/>
                      <wp:effectExtent l="0" t="0" r="0" b="0"/>
                      <wp:wrapNone/>
                      <wp:docPr id="268" name="Frame267"/>
                      <a:graphic xmlns:a="http://schemas.openxmlformats.org/drawingml/2006/main">
                        <a:graphicData uri="http://schemas.microsoft.com/office/word/2010/wordprocessingShape">
                          <wps:wsp>
                            <wps:cNvSpPr txBox="1"/>
                            <wps:spPr>
                              <a:xfrm>
                                <a:off x="0" y="0"/>
                                <a:ext cx="596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50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37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02"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  </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1,194</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9,656</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6,697</w:t>
            </w:r>
          </w:p>
        </w:tc>
      </w:tr>
      <w:tr>
        <w:trPr/>
        <w:tc>
          <w:tcPr>
            <w:tcW w:w="65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172,530</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655,028</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865,333</w:t>
            </w:r>
          </w:p>
        </w:tc>
      </w:tr>
      <w:tr>
        <w:trPr/>
        <w:tc>
          <w:tcPr>
            <w:tcW w:w="6502"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Cryptocurrencies received on behalf of related parties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6,312</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pPr>
            <w:r>
              <w:rPr/>
              <w:t>—</w:t>
            </w:r>
          </w:p>
        </w:tc>
      </w:tr>
      <w:tr>
        <w:trPr/>
        <w:tc>
          <w:tcPr>
            <w:tcW w:w="6502"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Cryptocurrencies paid on behalf of related parties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(24,852)</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(170,380)</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(562,894)</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(569,854)</w:t>
            </w:r>
          </w:p>
        </w:tc>
      </w:tr>
      <w:tr>
        <w:trPr/>
        <w:tc>
          <w:tcPr>
            <w:tcW w:w="6502"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Loan to a third party</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(10,222)</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Purchase of cryptocurrency-denoted wealth management product from a related party</w:t>
            </w:r>
            <w:r>
              <w:rPr>
                <w:rFonts w:ascii="Times New Roman;Times;serif" w:hAnsi="Times New Roman;Times;serif"/>
                <w:sz w:val="15"/>
              </w:rPr>
              <w:t>(4)</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(30,004)</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(149,972)</w:t>
            </w:r>
          </w:p>
        </w:tc>
      </w:tr>
      <w:tr>
        <w:trPr/>
        <w:tc>
          <w:tcPr>
            <w:tcW w:w="6502"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Loan to a related party</w:t>
            </w:r>
            <w:r>
              <w:rPr>
                <w:rFonts w:ascii="Times New Roman;Times;serif" w:hAnsi="Times New Roman;Times;serif"/>
                <w:sz w:val="15"/>
              </w:rPr>
              <w:t>(3)</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(30,015)</w:t>
            </w:r>
          </w:p>
        </w:tc>
        <w:tc>
          <w:tcPr>
            <w:tcW w:w="326" w:type="dxa"/>
            <w:tcBorders/>
            <w:shd w:fill="CCEEFF" w:val="clear"/>
            <w:vAlign w:val="center"/>
          </w:tcPr>
          <w:p>
            <w:pPr>
              <w:pStyle w:val="TableContents"/>
              <w:spacing w:before="0" w:after="1"/>
              <w:ind w:left="0" w:right="0" w:hanging="0"/>
              <w:rPr/>
            </w:pPr>
            <w:r>
              <w:rPr/>
              <w:t> </w:t>
            </w:r>
          </w:p>
        </w:tc>
        <w:tc>
          <w:tcPr>
            <w:tcW w:w="9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(150,025)</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9,656</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6,697</w:t>
            </w:r>
          </w:p>
        </w:tc>
        <w:tc>
          <w:tcPr>
            <w:tcW w:w="326" w:type="dxa"/>
            <w:tcBorders/>
            <w:shd w:fill="auto" w:val="clear"/>
            <w:vAlign w:val="center"/>
          </w:tcPr>
          <w:p>
            <w:pPr>
              <w:pStyle w:val="TableContents"/>
              <w:spacing w:before="0" w:after="1"/>
              <w:ind w:left="0" w:right="0" w:hanging="0"/>
              <w:rPr/>
            </w:pPr>
            <w:r>
              <w:rPr/>
              <w:t> </w:t>
            </w:r>
          </w:p>
        </w:tc>
        <w:tc>
          <w:tcPr>
            <w:tcW w:w="93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2,179</w:t>
            </w:r>
          </w:p>
        </w:tc>
      </w:tr>
      <w:tr>
        <w:trPr/>
        <w:tc>
          <w:tcPr>
            <w:tcW w:w="6502"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Impairment: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  </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65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Disposals </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65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balances</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CCEEFF" w:val="clear"/>
            <w:vAlign w:val="center"/>
          </w:tcPr>
          <w:p>
            <w:pPr>
              <w:pStyle w:val="TableContents"/>
              <w:spacing w:before="0" w:after="1"/>
              <w:ind w:left="0" w:right="0" w:hanging="0"/>
              <w:rPr/>
            </w:pPr>
            <w:r>
              <w:rPr/>
              <w:t> </w:t>
            </w:r>
          </w:p>
        </w:tc>
        <w:tc>
          <w:tcPr>
            <w:tcW w:w="9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pPr>
            <w:r>
              <w:rPr/>
              <w:t>  </w:t>
            </w:r>
          </w:p>
        </w:tc>
      </w:tr>
      <w:tr>
        <w:trPr/>
        <w:tc>
          <w:tcPr>
            <w:tcW w:w="65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balances</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9,582</w:t>
            </w:r>
          </w:p>
        </w:tc>
        <w:tc>
          <w:tcPr>
            <w:tcW w:w="326" w:type="dxa"/>
            <w:tcBorders/>
            <w:shd w:fill="CCEEFF" w:val="clear"/>
            <w:vAlign w:val="center"/>
          </w:tcPr>
          <w:p>
            <w:pPr>
              <w:pStyle w:val="TableContents"/>
              <w:spacing w:before="0" w:after="1"/>
              <w:ind w:left="0" w:right="0" w:hanging="0"/>
              <w:rPr/>
            </w:pPr>
            <w:r>
              <w:rPr/>
              <w:t> </w:t>
            </w:r>
          </w:p>
        </w:tc>
        <w:tc>
          <w:tcPr>
            <w:tcW w:w="9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6,187</w:t>
            </w:r>
          </w:p>
        </w:tc>
      </w:tr>
      <w:tr>
        <w:trPr/>
        <w:tc>
          <w:tcPr>
            <w:tcW w:w="65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9,582</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6,187</w:t>
            </w:r>
          </w:p>
        </w:tc>
        <w:tc>
          <w:tcPr>
            <w:tcW w:w="326" w:type="dxa"/>
            <w:tcBorders/>
            <w:shd w:fill="auto" w:val="clear"/>
            <w:vAlign w:val="center"/>
          </w:tcPr>
          <w:p>
            <w:pPr>
              <w:pStyle w:val="TableContents"/>
              <w:spacing w:before="0" w:after="1"/>
              <w:ind w:left="0" w:right="0" w:hanging="0"/>
              <w:rPr/>
            </w:pPr>
            <w:r>
              <w:rPr/>
              <w:t> </w:t>
            </w:r>
          </w:p>
        </w:tc>
        <w:tc>
          <w:tcPr>
            <w:tcW w:w="93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2,175</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0"/>
        <w:ind w:left="0" w:right="0" w:firstLine="360"/>
        <w:jc w:val="both"/>
        <w:rPr>
          <w:rFonts w:ascii="Times New Roman;Times;serif" w:hAnsi="Times New Roman;Times;serif"/>
          <w:sz w:val="20"/>
        </w:rPr>
      </w:pPr>
      <w:bookmarkStart w:id="1073" w:name="Tc_C9BEEHx81k6qeAT9WbZ1AA_20_0"/>
      <w:bookmarkStart w:id="1074" w:name="Tc_MGQIAznkY0CmK5oC2y3_Ww_19_0"/>
      <w:bookmarkStart w:id="1075" w:name="Tc_t8Ynmsz-I0iUksABuRrKNg_18_0"/>
      <w:bookmarkStart w:id="1076" w:name="Tc_mcb5HIDNX0qbHn07v8gTUA_17_0"/>
      <w:bookmarkStart w:id="1077" w:name="Tc_rK9ZAe5pQEmH9TnYsEE4GQ_16_4"/>
      <w:bookmarkStart w:id="1078" w:name="Tc_oMeH1njLlEWUW2NO4fbv0Q_16_0"/>
      <w:bookmarkStart w:id="1079" w:name="Tc_Tvu2exo2xk2ifLed2mItnA_15_6"/>
      <w:bookmarkStart w:id="1080" w:name="Tc_wS-lKQb3-0elFw8YRGNNMg_15_2"/>
      <w:bookmarkStart w:id="1081" w:name="Tc_ogsszmz5NUu0Coigv-JoeA_15_0"/>
      <w:bookmarkStart w:id="1082" w:name="Tc_TcEMIaXiF0Ktl4liJIAKGA_14_0"/>
      <w:bookmarkStart w:id="1083" w:name="Tc_DWRlJ1YqpUq0kIo_ukBFmQ_13_0"/>
      <w:bookmarkStart w:id="1084" w:name="Tc_YkePWULNAEKSEf-qmTVICw_12_0"/>
      <w:bookmarkStart w:id="1085" w:name="Tc_qsszgQsJ7UGhQGSoHNTyfA_11_4"/>
      <w:bookmarkStart w:id="1086" w:name="Tc_bgIhEEfTRUWNhlsjm8703w_11_2"/>
      <w:bookmarkStart w:id="1087" w:name="Tc_Qy6th_xBY0OnKjx0HXQFEQ_11_0"/>
      <w:bookmarkStart w:id="1088" w:name="Tc_I5zmZ7QwyUSJs-mnwbPw9Q_10_2"/>
      <w:bookmarkStart w:id="1089" w:name="Tc_01QnAanZ60KQMpaAkdVzVA_10_0"/>
      <w:bookmarkStart w:id="1090" w:name="Tc_5eCpCYnD_0-YxcRf0FtVCQ_9_6"/>
      <w:bookmarkStart w:id="1091" w:name="Tc_4yb48SwB9EaJRklDwhqG1w_9_2"/>
      <w:bookmarkStart w:id="1092" w:name="Tc_ZBPx0EGVfUmwrXOgA3xpZg_9_0"/>
      <w:bookmarkStart w:id="1093" w:name="Tc_X43A9YdhuketrbSOewNiTw_8_0"/>
      <w:bookmarkStart w:id="1094" w:name="Tc_hBiLFK2uiUOplosZGCGhCA_7_6"/>
      <w:bookmarkStart w:id="1095" w:name="Tc_B05uIbeAM0SGliU-R8DCeA_7_2"/>
      <w:bookmarkStart w:id="1096" w:name="Tc_y0bd54vc7kG9zYMEMm34sA_7_0"/>
      <w:bookmarkStart w:id="1097" w:name="Tc_T1RgN4qzcEa_v3C8vY4HeA_6_6"/>
      <w:bookmarkStart w:id="1098" w:name="Tc_wEyxLQDov0uDs6RPVrnNKA_6_4"/>
      <w:bookmarkStart w:id="1099" w:name="Tc_LP_E-bo8n0mZfNPDzOX1xA_6_0"/>
      <w:bookmarkStart w:id="1100" w:name="Tc_Tq_Lei_uKE6bjod6RMPk5A_5_0"/>
      <w:bookmarkStart w:id="1101" w:name="Tc_ifNHhQtF0EWyVrb0duIGiw_4_0"/>
      <w:bookmarkStart w:id="1102" w:name="Tc_xzmhcNPeTkOPgEIXgfT6jA_3_0"/>
      <w:bookmarkStart w:id="1103" w:name="Tc_eRRTnKLTLEGU13q66Jeu4A_2_6"/>
      <w:bookmarkStart w:id="1104" w:name="Tc_u3K-AfG1a0exCLifW1EIXA_2_4"/>
      <w:bookmarkStart w:id="1105" w:name="Tc_KtGR1NAXxkOidcYwrEdRHg_2_2"/>
      <w:bookmarkStart w:id="1106" w:name="Tc_ENHDtiTJG02dZCMzfIfGeA_2_0"/>
      <w:bookmarkStart w:id="1107" w:name="Tc_3QGFWkIynEOYlu5RbOzzqw_1_2"/>
      <w:bookmarkStart w:id="1108" w:name="_337edb4b_5e13_4d65_8d10_bdbeb4e3a749"/>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Times New Roman;Times;serif" w:hAnsi="Times New Roman;Times;serif"/>
          <w:sz w:val="20"/>
        </w:rPr>
        <w:t>The supplemental information of cryptocurrencies other than USDC is as follows: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6502"/>
        <w:gridCol w:w="326"/>
        <w:gridCol w:w="893"/>
        <w:gridCol w:w="326"/>
        <w:gridCol w:w="893"/>
        <w:gridCol w:w="326"/>
        <w:gridCol w:w="939"/>
      </w:tblGrid>
      <w:tr>
        <w:trPr/>
        <w:tc>
          <w:tcPr>
            <w:tcW w:w="650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9" w:type="dxa"/>
            <w:tcBorders/>
            <w:shd w:fill="auto" w:val="clear"/>
            <w:vAlign w:val="center"/>
          </w:tcPr>
          <w:p>
            <w:pPr>
              <w:pStyle w:val="TableContents"/>
              <w:spacing w:before="0" w:after="1"/>
              <w:ind w:left="0" w:right="0" w:hanging="0"/>
              <w:rPr/>
            </w:pPr>
            <w:r>
              <w:rPr/>
              <w:t>​</w:t>
            </w:r>
          </w:p>
        </w:tc>
      </w:tr>
      <w:tr>
        <w:trPr/>
        <w:tc>
          <w:tcPr>
            <w:tcW w:w="650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37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9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02"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  </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Beginning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1,194</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9,601</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6,598</w:t>
            </w:r>
          </w:p>
        </w:tc>
      </w:tr>
      <w:tr>
        <w:trPr/>
        <w:tc>
          <w:tcPr>
            <w:tcW w:w="650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172,475</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575,730</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586,117</w:t>
            </w:r>
          </w:p>
        </w:tc>
      </w:tr>
      <w:tr>
        <w:trPr/>
        <w:tc>
          <w:tcPr>
            <w:tcW w:w="6502"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Cryptocurrencies other than USDC received on behalf of related parties</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6,312</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pPr>
            <w:r>
              <w:rPr/>
              <w:t>—</w:t>
            </w:r>
          </w:p>
        </w:tc>
      </w:tr>
      <w:tr>
        <w:trPr/>
        <w:tc>
          <w:tcPr>
            <w:tcW w:w="6502"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Cryptocurrencies other than USDC paid on behalf of related parties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(24,852)</w:t>
            </w:r>
          </w:p>
        </w:tc>
        <w:tc>
          <w:tcPr>
            <w:tcW w:w="326" w:type="dxa"/>
            <w:tcBorders/>
            <w:shd w:fill="CCEEFF" w:val="clear"/>
            <w:vAlign w:val="center"/>
          </w:tcPr>
          <w:p>
            <w:pPr>
              <w:pStyle w:val="TableContents"/>
              <w:spacing w:before="0" w:after="1"/>
              <w:ind w:left="0" w:right="0" w:hanging="0"/>
              <w:rPr/>
            </w:pPr>
            <w:r>
              <w:rPr/>
              <w:t>​</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(170,380)</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(513,655)</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(425,649)</w:t>
            </w:r>
          </w:p>
        </w:tc>
      </w:tr>
      <w:tr>
        <w:trPr/>
        <w:tc>
          <w:tcPr>
            <w:tcW w:w="6502"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Loan to a third party</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(10,222)</w:t>
            </w:r>
          </w:p>
        </w:tc>
        <w:tc>
          <w:tcPr>
            <w:tcW w:w="326" w:type="dxa"/>
            <w:tcBorders/>
            <w:shd w:fill="CCEEFF" w:val="clear"/>
            <w:vAlign w:val="center"/>
          </w:tcPr>
          <w:p>
            <w:pPr>
              <w:pStyle w:val="TableContents"/>
              <w:spacing w:before="0" w:after="1"/>
              <w:ind w:left="0" w:right="0" w:hanging="0"/>
              <w:rPr/>
            </w:pPr>
            <w:r>
              <w:rPr/>
              <w:t>​</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Purchase of cryptocurrency-denoted wealth management product from a related party</w:t>
            </w:r>
            <w:r>
              <w:rPr>
                <w:rFonts w:ascii="Times New Roman;Times;serif" w:hAnsi="Times New Roman;Times;serif"/>
                <w:sz w:val="15"/>
              </w:rPr>
              <w:t>(4)</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(30,004)</w:t>
            </w:r>
          </w:p>
        </w:tc>
        <w:tc>
          <w:tcPr>
            <w:tcW w:w="326" w:type="dxa"/>
            <w:tcBorders/>
            <w:shd w:fill="auto" w:val="clear"/>
            <w:vAlign w:val="center"/>
          </w:tcPr>
          <w:p>
            <w:pPr>
              <w:pStyle w:val="TableContents"/>
              <w:spacing w:before="0" w:after="1"/>
              <w:ind w:left="0" w:right="0" w:hanging="0"/>
              <w:rPr/>
            </w:pPr>
            <w:r>
              <w:rPr/>
              <w:t>​</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(149,972)</w:t>
            </w:r>
          </w:p>
        </w:tc>
      </w:tr>
      <w:tr>
        <w:trPr/>
        <w:tc>
          <w:tcPr>
            <w:tcW w:w="6502"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Loan to a related party</w:t>
            </w:r>
            <w:r>
              <w:rPr>
                <w:rFonts w:ascii="Times New Roman;Times;serif" w:hAnsi="Times New Roman;Times;serif"/>
                <w:sz w:val="15"/>
              </w:rPr>
              <w:t>(3)</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9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(15,004)</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Ending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9,601</w:t>
            </w:r>
          </w:p>
        </w:tc>
        <w:tc>
          <w:tcPr>
            <w:tcW w:w="326" w:type="dxa"/>
            <w:tcBorders/>
            <w:shd w:fill="auto" w:val="clear"/>
            <w:vAlign w:val="center"/>
          </w:tcPr>
          <w:p>
            <w:pPr>
              <w:pStyle w:val="TableContents"/>
              <w:spacing w:before="0" w:after="1"/>
              <w:ind w:left="0" w:right="0" w:hanging="0"/>
              <w:rPr/>
            </w:pPr>
            <w:r>
              <w:rPr/>
              <w:t>​</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6,598</w:t>
            </w:r>
          </w:p>
        </w:tc>
        <w:tc>
          <w:tcPr>
            <w:tcW w:w="326" w:type="dxa"/>
            <w:tcBorders/>
            <w:shd w:fill="auto" w:val="clear"/>
            <w:vAlign w:val="center"/>
          </w:tcPr>
          <w:p>
            <w:pPr>
              <w:pStyle w:val="TableContents"/>
              <w:spacing w:before="0" w:after="1"/>
              <w:ind w:left="0" w:right="0" w:hanging="0"/>
              <w:rPr/>
            </w:pPr>
            <w:r>
              <w:rPr/>
              <w:t> </w:t>
            </w:r>
          </w:p>
        </w:tc>
        <w:tc>
          <w:tcPr>
            <w:tcW w:w="93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2,090</w:t>
            </w:r>
          </w:p>
        </w:tc>
      </w:tr>
      <w:tr>
        <w:trPr/>
        <w:tc>
          <w:tcPr>
            <w:tcW w:w="6502"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Impairment:</w:t>
            </w:r>
          </w:p>
        </w:tc>
        <w:tc>
          <w:tcPr>
            <w:tcW w:w="326"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Beginning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650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CCEEFF" w:val="clear"/>
            <w:vAlign w:val="center"/>
          </w:tcPr>
          <w:p>
            <w:pPr>
              <w:pStyle w:val="TableContents"/>
              <w:spacing w:before="0" w:after="1"/>
              <w:ind w:left="0" w:right="0" w:hanging="0"/>
              <w:rPr/>
            </w:pPr>
            <w:r>
              <w:rPr/>
              <w:t>​</w:t>
            </w:r>
          </w:p>
        </w:tc>
        <w:tc>
          <w:tcPr>
            <w:tcW w:w="939" w:type="dxa"/>
            <w:tcBorders/>
            <w:shd w:fill="CCEEFF" w:val="clear"/>
            <w:vAlign w:val="center"/>
          </w:tcPr>
          <w:p>
            <w:pPr>
              <w:pStyle w:val="TableContents"/>
              <w:spacing w:before="0" w:after="1"/>
              <w:ind w:left="0" w:right="0" w:hanging="0"/>
              <w:jc w:val="right"/>
              <w:rPr/>
            </w:pPr>
            <w:r>
              <w:rPr/>
              <w:t>—</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1"/>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650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Ending balances</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spacing w:before="0" w:after="1"/>
              <w:ind w:left="0" w:right="0" w:hanging="0"/>
              <w:rPr/>
            </w:pPr>
            <w:r>
              <w:rPr/>
              <w:t>​</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CCEEFF" w:val="clear"/>
            <w:vAlign w:val="center"/>
          </w:tcPr>
          <w:p>
            <w:pPr>
              <w:pStyle w:val="TableContents"/>
              <w:spacing w:before="0" w:after="1"/>
              <w:ind w:left="0" w:right="0" w:hanging="0"/>
              <w:rPr/>
            </w:pPr>
            <w:r>
              <w:rPr/>
              <w:t> </w:t>
            </w:r>
          </w:p>
        </w:tc>
        <w:tc>
          <w:tcPr>
            <w:tcW w:w="9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pPr>
            <w:r>
              <w:rPr/>
              <w:t>​</w:t>
            </w:r>
          </w:p>
        </w:tc>
      </w:tr>
      <w:tr>
        <w:trPr/>
        <w:tc>
          <w:tcPr>
            <w:tcW w:w="650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Beginning balances</w:t>
            </w:r>
          </w:p>
        </w:tc>
        <w:tc>
          <w:tcPr>
            <w:tcW w:w="326" w:type="dxa"/>
            <w:tcBorders/>
            <w:shd w:fill="CCEEFF" w:val="clear"/>
            <w:vAlign w:val="center"/>
          </w:tcPr>
          <w:p>
            <w:pPr>
              <w:pStyle w:val="TableContents"/>
              <w:spacing w:before="0" w:after="1"/>
              <w:ind w:left="0" w:right="0" w:hanging="0"/>
              <w:rPr/>
            </w:pPr>
            <w:r>
              <w:rPr/>
              <w:t> </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326" w:type="dxa"/>
            <w:tcBorders/>
            <w:shd w:fill="CCEEFF" w:val="clear"/>
            <w:vAlign w:val="center"/>
          </w:tcPr>
          <w:p>
            <w:pPr>
              <w:pStyle w:val="TableContents"/>
              <w:spacing w:before="0" w:after="1"/>
              <w:ind w:left="0" w:right="0" w:hanging="0"/>
              <w:rPr/>
            </w:pPr>
            <w:r>
              <w:rPr/>
              <w:t>​</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shd w:fill="CCEEFF" w:val="clear"/>
            <w:vAlign w:val="center"/>
          </w:tcPr>
          <w:p>
            <w:pPr>
              <w:pStyle w:val="TableContents"/>
              <w:spacing w:before="0" w:after="1"/>
              <w:ind w:left="0" w:right="0" w:hanging="0"/>
              <w:rPr/>
            </w:pPr>
            <w:r>
              <w:rPr/>
              <w:t> </w:t>
            </w:r>
          </w:p>
        </w:tc>
        <w:tc>
          <w:tcPr>
            <w:tcW w:w="9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6,088</w:t>
            </w:r>
          </w:p>
        </w:tc>
      </w:tr>
      <w:tr>
        <w:trPr/>
        <w:tc>
          <w:tcPr>
            <w:tcW w:w="65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Ending balances</w:t>
            </w:r>
          </w:p>
        </w:tc>
        <w:tc>
          <w:tcPr>
            <w:tcW w:w="326" w:type="dxa"/>
            <w:tcBorders/>
            <w:shd w:fill="auto" w:val="clear"/>
            <w:vAlign w:val="center"/>
          </w:tcPr>
          <w:p>
            <w:pPr>
              <w:pStyle w:val="TableContents"/>
              <w:spacing w:before="0" w:after="1"/>
              <w:ind w:left="0" w:right="0" w:hanging="0"/>
              <w:rPr/>
            </w:pPr>
            <w:r>
              <w:rPr/>
              <w:t> </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shd w:fill="auto" w:val="clear"/>
            <w:vAlign w:val="center"/>
          </w:tcPr>
          <w:p>
            <w:pPr>
              <w:pStyle w:val="TableContents"/>
              <w:spacing w:before="0" w:after="1"/>
              <w:ind w:left="0" w:right="0" w:hanging="0"/>
              <w:rPr/>
            </w:pPr>
            <w:r>
              <w:rPr/>
              <w:t>​</w:t>
            </w:r>
          </w:p>
        </w:tc>
        <w:tc>
          <w:tcPr>
            <w:tcW w:w="8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6,088</w:t>
            </w:r>
          </w:p>
        </w:tc>
        <w:tc>
          <w:tcPr>
            <w:tcW w:w="326" w:type="dxa"/>
            <w:tcBorders/>
            <w:shd w:fill="auto" w:val="clear"/>
            <w:vAlign w:val="center"/>
          </w:tcPr>
          <w:p>
            <w:pPr>
              <w:pStyle w:val="TableContents"/>
              <w:spacing w:before="0" w:after="1"/>
              <w:ind w:left="0" w:right="0" w:hanging="0"/>
              <w:rPr/>
            </w:pPr>
            <w:r>
              <w:rPr/>
              <w:t> </w:t>
            </w:r>
          </w:p>
        </w:tc>
        <w:tc>
          <w:tcPr>
            <w:tcW w:w="93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2,086</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Cryptocurrencies or cryptocurrencies other than USDC received and paid on behalf of related parties represent the net effect of cryptocurrency or cryptocurrencies other than USDC transferred through the wallets held by the Group relating to transactions arising from Bitmain and BTC’s businesses during the Carve-out Period. </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Represent an unsecured, interest-free cryptocurrency loan the Group made to a third party. The lending was collected in full as of December 31, 2021. The Group recorded approximately US$3,735,000 loss on change in fair value of cryptocurrencies lent for the year ended December 31, 2021.</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Represent cryptocurrency loans made to the Matrixport Group, a related party. All loans were fully collected as of December 31, 2021 and 2022 and the collections are included in the additions of cryptocurrencies above. Also see Note 20.</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Represent cryptocurrency-denoted wealth management products purchased from the Matrixport Group, a related party. All such wealth management products were fully redeemed as of December 31, 2021 and 2022 and the redemptions are included in the additions of cryptocurrencies above. Also see Note 20.</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management’s estimates of impairment provision of cryptocurrencies other than USDC are made based on the current market prices of cryptocurrencies as of each balance sheet date. Fluctuations in the market price of cryptocurrencies after the balance sheet date are not considered in determining the provision for impairment of cryptocurrencies other than USDC.</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1109" w:name="Tc_C6p-GUoOBUOcILGrPI4Q6w_10_0"/>
      <w:bookmarkStart w:id="1110" w:name="Tc_cPKaoAxpy0u-vR-Ly0fIrQ_9_0"/>
      <w:bookmarkStart w:id="1111" w:name="Tc_qFaNl-KbOEiX2pToez9CIQ_8_4"/>
      <w:bookmarkStart w:id="1112" w:name="Tc_uxmLGL6RHkqGpjQ_66UU_g_8_0"/>
      <w:bookmarkStart w:id="1113" w:name="Tc_rP8_WOlcp0CqAdTBw25WGA_7_2"/>
      <w:bookmarkStart w:id="1114" w:name="Tc_6OSH3liey0CR6k5JpdzkSg_7_0"/>
      <w:bookmarkStart w:id="1115" w:name="Tc_kiNNQS_75UGmFNfGP9pzuQ_6_2"/>
      <w:bookmarkStart w:id="1116" w:name="Tc_rukAEtD59E609_WfnSEVyQ_6_0"/>
      <w:bookmarkStart w:id="1117" w:name="Tc_s5b4kQtHnUeIyl1fgrDSMQ_5_0"/>
      <w:bookmarkStart w:id="1118" w:name="Tc_oJhi4-SR5EupsSHOAZPe1g_4_0"/>
      <w:bookmarkStart w:id="1119" w:name="Tc_TirMhHLWMEC5KTmKknW9cQ_3_0"/>
      <w:bookmarkStart w:id="1120" w:name="Tc_PlH5msLnzUmlLBV_eGqXGw_2_4"/>
      <w:bookmarkStart w:id="1121" w:name="Tc_Enu170QI6UqRiR1-maH-Bw_2_2"/>
      <w:bookmarkStart w:id="1122" w:name="Tc_wkbQM93GVE2wrYqQIlJj3Q_2_0"/>
      <w:bookmarkStart w:id="1123" w:name="Tc_a4QD0YkqOkKFQoFqZlwJmQ_1_2"/>
      <w:bookmarkStart w:id="1124" w:name="_3fdc656f_2640_4dd5_9b1c_cc3e748a56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rFonts w:ascii="Times New Roman;Times;serif" w:hAnsi="Times New Roman;Times;serif"/>
          <w:b/>
          <w:i w:val="false"/>
          <w:caps w:val="false"/>
          <w:smallCaps w:val="false"/>
          <w:sz w:val="20"/>
        </w:rPr>
        <w:t>8.</w:t>
      </w:r>
      <w:r>
        <w:rPr>
          <w:rFonts w:ascii="Times New Roman;Times;serif" w:hAnsi="Times New Roman;Times;serif"/>
          <w:b/>
          <w:sz w:val="20"/>
        </w:rPr>
        <w:t>PREPAYMENTS AND OTHER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breakdown of prepayments and other assets is as follows:</w:t>
      </w:r>
    </w:p>
    <w:tbl>
      <w:tblPr>
        <w:tblW w:w="5800" w:type="dxa"/>
        <w:jc w:val="left"/>
        <w:tblInd w:w="0" w:type="dxa"/>
        <w:tblCellMar>
          <w:top w:w="0" w:type="dxa"/>
          <w:left w:w="0" w:type="dxa"/>
          <w:bottom w:w="0" w:type="dxa"/>
          <w:right w:w="0" w:type="dxa"/>
        </w:tblCellMar>
      </w:tblPr>
      <w:tblGrid>
        <w:gridCol w:w="3691"/>
        <w:gridCol w:w="326"/>
        <w:gridCol w:w="676"/>
        <w:gridCol w:w="326"/>
        <w:gridCol w:w="781"/>
      </w:tblGrid>
      <w:tr>
        <w:trPr/>
        <w:tc>
          <w:tcPr>
            <w:tcW w:w="3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343785" cy="175260"/>
                      <wp:effectExtent l="0" t="0" r="0" b="0"/>
                      <wp:wrapNone/>
                      <wp:docPr id="269" name="Frame268"/>
                      <a:graphic xmlns:a="http://schemas.openxmlformats.org/drawingml/2006/main">
                        <a:graphicData uri="http://schemas.microsoft.com/office/word/2010/wordprocessingShape">
                          <wps:wsp>
                            <wps:cNvSpPr txBox="1"/>
                            <wps:spPr>
                              <a:xfrm>
                                <a:off x="0" y="0"/>
                                <a:ext cx="2343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29260" cy="175260"/>
                      <wp:effectExtent l="0" t="0" r="0" b="0"/>
                      <wp:wrapNone/>
                      <wp:docPr id="271" name="Frame27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to suppliers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14,450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9,664</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Deposits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6,669</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26,577</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Deductible input value-added tax</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Prepayments of income tax</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18,459</w:t>
            </w:r>
          </w:p>
        </w:tc>
      </w:tr>
      <w:tr>
        <w:trPr/>
        <w:tc>
          <w:tcPr>
            <w:tcW w:w="3691"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Receivable from a third party</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2,546</w:t>
            </w:r>
          </w:p>
        </w:tc>
      </w:tr>
      <w:tr>
        <w:trPr/>
        <w:tc>
          <w:tcPr>
            <w:tcW w:w="3691"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Receivable from the disposed subsidiaries</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10,203</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2,555</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1,573</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34,637</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59,576</w:t>
            </w:r>
          </w:p>
        </w:tc>
      </w:tr>
    </w:tbl>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Represent balance due from two subsidiaries which the Group disposed of in December 2021. The receivables have been fully collected by March 2022.</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Represent balance due from Blue Safari Acquisition Corp. (“BSGA”), a special purpose acquisition company who has signed a merger agreement with the Group. Associated with the anticipated merger, the Group agreed to lend BSGA an aggregate principal amount of US$1.99 million in two tranches and additional US$2.58 million in four tranches to fund any and all amounts required to extend the period of time BSGA has to complete the merger for up to two times for an additional three month period each time. The lending bears no interest and is repayable only at the closing of the merger by BSGA. The merger was closed in April 2023. See Note 23.</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2020, 2021 and 2022, the Group did not recognize any allowance for expected credit losses for prepayments and other assets.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125" w:name="Tc_TEXVgJcnrkui3PU8l87FEg_10_0"/>
      <w:bookmarkStart w:id="1126" w:name="Tc_Iid2DKpXGUKHSPhM_t8rVg_9_2"/>
      <w:bookmarkStart w:id="1127" w:name="Tc_evFlQprrP0amV4HwWq5d8A_9_0"/>
      <w:bookmarkStart w:id="1128" w:name="Tc_5m-G2s8La0yKKyyc_VrXNQ_8_2"/>
      <w:bookmarkStart w:id="1129" w:name="Tc_5K6unQsokES_1k2yK7fetg_8_0"/>
      <w:bookmarkStart w:id="1130" w:name="Tc_-Iz5UcnJp0CjdgghdexQhg_7_2"/>
      <w:bookmarkStart w:id="1131" w:name="Tc_NBHaVHB6zkWsP9K2gjGznQ_7_0"/>
      <w:bookmarkStart w:id="1132" w:name="Tc_PubJRnGwA06nqyAWnOG0ZA_6_2"/>
      <w:bookmarkStart w:id="1133" w:name="Tc_qrQXJ2EwCESU0-uOzsTV1A_6_0"/>
      <w:bookmarkStart w:id="1134" w:name="Tc_KNUTHFjffEm8-BB83-o1tg_5_0"/>
      <w:bookmarkStart w:id="1135" w:name="Tc_EsIaNxkTd0G2RvpxYN7uhA_4_0"/>
      <w:bookmarkStart w:id="1136" w:name="Tc_untqH0QONk2KJg4jrdIDuw_3_0"/>
      <w:bookmarkStart w:id="1137" w:name="Tc_BXNqXbcSm0GIpcE53vGufQ_2_4"/>
      <w:bookmarkStart w:id="1138" w:name="Tc_SkpO9ZWfH0KOhA9NnxJYVA_2_2"/>
      <w:bookmarkStart w:id="1139" w:name="Tc_1kCRsXjTNEGlxx0qic1iCw_2_0"/>
      <w:bookmarkStart w:id="1140" w:name="Tc_wv2gWllX60-PD3nkXck4KA_1_2"/>
      <w:bookmarkStart w:id="1141" w:name="_840c0a6f_11c5_41bb_bee0_6441c4a2aa9b"/>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b/>
          <w:i w:val="false"/>
          <w:caps w:val="false"/>
          <w:smallCaps w:val="false"/>
          <w:sz w:val="20"/>
        </w:rPr>
        <w:t>9.</w:t>
      </w:r>
      <w:r>
        <w:rPr>
          <w:rFonts w:ascii="Times New Roman;Times;serif" w:hAnsi="Times New Roman;Times;serif"/>
          <w:b/>
          <w:sz w:val="20"/>
        </w:rPr>
        <w:t>FINANCIAL ASSETS AT FAIR VALUE THROUGH PROFIT OR 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breakdown of financial assets at fair value through profit or loss is as follows:</w:t>
      </w:r>
    </w:p>
    <w:tbl>
      <w:tblPr>
        <w:tblW w:w="8635" w:type="dxa"/>
        <w:jc w:val="left"/>
        <w:tblInd w:w="0" w:type="dxa"/>
        <w:tblCellMar>
          <w:top w:w="0" w:type="dxa"/>
          <w:left w:w="0" w:type="dxa"/>
          <w:bottom w:w="0" w:type="dxa"/>
          <w:right w:w="0" w:type="dxa"/>
        </w:tblCellMar>
      </w:tblPr>
      <w:tblGrid>
        <w:gridCol w:w="6811"/>
        <w:gridCol w:w="326"/>
        <w:gridCol w:w="571"/>
        <w:gridCol w:w="146"/>
        <w:gridCol w:w="781"/>
      </w:tblGrid>
      <w:tr>
        <w:trPr/>
        <w:tc>
          <w:tcPr>
            <w:tcW w:w="6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24985" cy="175260"/>
                      <wp:effectExtent l="0" t="0" r="0" b="0"/>
                      <wp:wrapNone/>
                      <wp:docPr id="274" name="Frame273"/>
                      <a:graphic xmlns:a="http://schemas.openxmlformats.org/drawingml/2006/main">
                        <a:graphicData uri="http://schemas.microsoft.com/office/word/2010/wordprocessingShape">
                          <wps:wsp>
                            <wps:cNvSpPr txBox="1"/>
                            <wps:spPr>
                              <a:xfrm>
                                <a:off x="0" y="0"/>
                                <a:ext cx="432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2585" cy="175260"/>
                      <wp:effectExtent l="0" t="0" r="0" b="0"/>
                      <wp:wrapNone/>
                      <wp:docPr id="276" name="Frame27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2710" cy="175260"/>
                      <wp:effectExtent l="0" t="0" r="0" b="0"/>
                      <wp:wrapNone/>
                      <wp:docPr id="277" name="Frame27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78" name="Frame27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9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681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Investments in unlisted equity instruments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r>
      <w:tr>
        <w:trPr/>
        <w:tc>
          <w:tcPr>
            <w:tcW w:w="68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Investment A</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8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Investment B</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4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8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Investment C</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6811"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 Investment D – investment in a limited partnership set up by Matrixport Group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16,348</w:t>
            </w:r>
          </w:p>
        </w:tc>
      </w:tr>
      <w:tr>
        <w:trPr/>
        <w:tc>
          <w:tcPr>
            <w:tcW w:w="68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Investment E</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68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Investments in unlisted debt instruments </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31,111</w:t>
            </w:r>
          </w:p>
        </w:tc>
      </w:tr>
      <w:tr>
        <w:trPr/>
        <w:tc>
          <w:tcPr>
            <w:tcW w:w="681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14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60,959</w:t>
            </w:r>
          </w:p>
        </w:tc>
      </w:tr>
    </w:tbl>
    <w:tbl>
      <w:tblPr>
        <w:tblW w:w="1626" w:type="dxa"/>
        <w:jc w:val="left"/>
        <w:tblInd w:w="0" w:type="dxa"/>
        <w:tblCellMar>
          <w:top w:w="28" w:type="dxa"/>
          <w:left w:w="28" w:type="dxa"/>
          <w:bottom w:w="28" w:type="dxa"/>
          <w:right w:w="28" w:type="dxa"/>
        </w:tblCellMar>
      </w:tblPr>
      <w:tblGrid>
        <w:gridCol w:w="124"/>
        <w:gridCol w:w="331"/>
        <w:gridCol w:w="117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1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20.</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above investments in unlisted debt and equity instruments at December 31, 2021 and 2022 were investments in funds and privately-held enterprises. These financial assets at fair value through profit or loss are measured at fair value using Levels 3 inputs. Refer to Note 4 for more information. The Group does not have control or significant influence over the privately-held enterprises.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1142" w:name="_34ceba0e_5f6e_40e4_87df_69494c286c58"/>
      <w:bookmarkEnd w:id="1142"/>
      <w:r>
        <w:rPr>
          <w:rFonts w:ascii="Times New Roman;Times;serif" w:hAnsi="Times New Roman;Times;serif"/>
          <w:b/>
          <w:i w:val="false"/>
          <w:caps w:val="false"/>
          <w:smallCaps w:val="false"/>
          <w:sz w:val="20"/>
        </w:rPr>
        <w:t>10.</w:t>
      </w:r>
      <w:r>
        <w:rPr>
          <w:rFonts w:ascii="Times New Roman;Times;serif" w:hAnsi="Times New Roman;Times;serif"/>
          <w:b/>
          <w:sz w:val="20"/>
        </w:rPr>
        <w:t>MINING MACHINES</w:t>
      </w:r>
    </w:p>
    <w:p>
      <w:pPr>
        <w:pStyle w:val="TextBody"/>
        <w:spacing w:before="0" w:after="240"/>
        <w:ind w:left="0" w:right="0" w:firstLine="360"/>
        <w:jc w:val="both"/>
        <w:rPr>
          <w:rFonts w:ascii="Times New Roman;Times;serif" w:hAnsi="Times New Roman;Times;serif"/>
          <w:sz w:val="20"/>
        </w:rPr>
      </w:pPr>
      <w:bookmarkStart w:id="1143" w:name="Tc_FpU15iFf1kO4Z_-f2Zo57A_53_0"/>
      <w:bookmarkStart w:id="1144" w:name="Tc_cvbR47BZT0ue3u_0WHun1Q_52_0"/>
      <w:bookmarkStart w:id="1145" w:name="Tc_UdsGmemok0GdyCPdQcBRlw_51_0"/>
      <w:bookmarkStart w:id="1146" w:name="Tc_jnXNSdnjo02EQtzf5u8TyQ_50_0"/>
      <w:bookmarkStart w:id="1147" w:name="Tc_fcpGuFJTMkCZ4qFuJ9sOXw_49_0"/>
      <w:bookmarkStart w:id="1148" w:name="Tc_B0R0GkAoMESPYWgp-MezEQ_48_0"/>
      <w:bookmarkStart w:id="1149" w:name="Tc_EhJkKVuXLEmxknLRTqyzTA_47_0"/>
      <w:bookmarkStart w:id="1150" w:name="Tc_b2v7A5dJiEqRzfoEd0jFig_46_0"/>
      <w:bookmarkStart w:id="1151" w:name="Tc_9DYiNCwg2UicWIAmikJd4Q_45_0"/>
      <w:bookmarkStart w:id="1152" w:name="Tc_SIpHyNmy9kat8bu8ymJRmQ_44_0"/>
      <w:bookmarkStart w:id="1153" w:name="Tc_h2jebuaEIkSKCzSq1iwCJg_43_0"/>
      <w:bookmarkStart w:id="1154" w:name="Tc_g9M5lAyt80GpG-bCyGC0gQ_42_0"/>
      <w:bookmarkStart w:id="1155" w:name="Tc_-hJPCEy9u0CVDgbBZxVeRg_41_0"/>
      <w:bookmarkStart w:id="1156" w:name="Tc_rLPsg2BaCUyEFopV3sEa5w_40_0"/>
      <w:bookmarkStart w:id="1157" w:name="Tc__QjxdCNKD0-mUyzfhQa9Mg_39_0"/>
      <w:bookmarkStart w:id="1158" w:name="Tc_Lh1LnrB1kEyVKsY4l7ugAw_38_0"/>
      <w:bookmarkStart w:id="1159" w:name="Tc_ue7sIAvhKU6gK9joKI4vUQ_37_0"/>
      <w:bookmarkStart w:id="1160" w:name="Tc_9BuLFSsohkyso_DR-eS9TA_36_0"/>
      <w:bookmarkStart w:id="1161" w:name="Tc_c5G58B1ToU62Tdaa8XEodA_35_0"/>
      <w:bookmarkStart w:id="1162" w:name="Tc_5knfFKgHoUKtnRGEOlkhzA_34_0"/>
      <w:bookmarkStart w:id="1163" w:name="Tc_dJtMKWdFC0aPWZ8RjlZ0Ow_33_2"/>
      <w:bookmarkStart w:id="1164" w:name="Tc_qlmTy1QS2Ee9EHzb81GDag_33_0"/>
      <w:bookmarkStart w:id="1165" w:name="Tc_Mr6pZHYd_UW57fqlU6l_2Q_32_0"/>
      <w:bookmarkStart w:id="1166" w:name="Tc__WVR0W8TyUqwlLmjqV_BwA_31_0"/>
      <w:bookmarkStart w:id="1167" w:name="Tc_o7hneiCGtUabHBtsZJLgLA_30_0"/>
      <w:bookmarkStart w:id="1168" w:name="Tc_wGTCLqPNyUevSCnWPMwVqg_29_0"/>
      <w:bookmarkStart w:id="1169" w:name="Tc_nMeO_-HQoEargo2_oNW8hA_28_0"/>
      <w:bookmarkStart w:id="1170" w:name="Tc_QSKXl_Sc4ECEZOduGMAkrw_27_0"/>
      <w:bookmarkStart w:id="1171" w:name="Tc_f4FCL52Ku06Wi8s99pMpmg_26_0"/>
      <w:bookmarkStart w:id="1172" w:name="Tc_WCnhkM82GUOqv8a8hoYdJQ_25_0"/>
      <w:bookmarkStart w:id="1173" w:name="Tc_JtaeuNFFHkKs73txa8yv2w_24_0"/>
      <w:bookmarkStart w:id="1174" w:name="Tc_CxvUk9eAAkyVvSXvas39sg_23_0"/>
      <w:bookmarkStart w:id="1175" w:name="Tc_6ZDdQpr6A0OQpObfRlhAxw_22_0"/>
      <w:bookmarkStart w:id="1176" w:name="Tc_Mn_4xelAGU6XiO-O5zNpKQ_21_0"/>
      <w:bookmarkStart w:id="1177" w:name="Tc_HfB2m6vOkUSC93Jk5Ux6Qg_20_0"/>
      <w:bookmarkStart w:id="1178" w:name="Tc_HgBKrwJFjUySisMNb9fZHQ_19_0"/>
      <w:bookmarkStart w:id="1179" w:name="Tc_axxKri5oAkm58oSN_1GQRw_18_0"/>
      <w:bookmarkStart w:id="1180" w:name="Tc_Ed6rHnaqE0OsHt7Sl5mawA_17_2"/>
      <w:bookmarkStart w:id="1181" w:name="Tc_tAmqnMd_7EebXQaEmaJhYQ_17_0"/>
      <w:bookmarkStart w:id="1182" w:name="Tc_KB45rdSPdkepT5THay5yEg_16_0"/>
      <w:bookmarkStart w:id="1183" w:name="Tc_6pvTVvyWrk62eeepFKxSDA_15_0"/>
      <w:bookmarkStart w:id="1184" w:name="Tc_V-HG5x7VJke-LVh5P837-g_14_0"/>
      <w:bookmarkStart w:id="1185" w:name="Tc_PaHem82anEyknvzP6JqVcw_13_0"/>
      <w:bookmarkStart w:id="1186" w:name="Tc_5nhV37iKMECovamFKM3Lig_12_0"/>
      <w:bookmarkStart w:id="1187" w:name="Tc_oQwLfRC8r0GFyfW3ofd0Yg_11_0"/>
      <w:bookmarkStart w:id="1188" w:name="Tc_A9ihaiEmLUuiHAE39TPO2g_10_0"/>
      <w:bookmarkStart w:id="1189" w:name="Tc_b1HppMmFMk-4_GIvpYoe-Q_9_0"/>
      <w:bookmarkStart w:id="1190" w:name="Tc_sWnN2E8GKkGIQzvndomRPw_8_0"/>
      <w:bookmarkStart w:id="1191" w:name="Tc__rOO84V7sEKt1-QdhHJQ4Q_7_0"/>
      <w:bookmarkStart w:id="1192" w:name="Tc_flwdOOTXZkyhPYrPOXB4Tw_6_0"/>
      <w:bookmarkStart w:id="1193" w:name="Tc_ZE6FRduDs0G1cKxMjbtxqw_5_0"/>
      <w:bookmarkStart w:id="1194" w:name="Tc_G4BBJUZYNE-lQhsg2lUDwA_4_0"/>
      <w:bookmarkStart w:id="1195" w:name="Tc_5NcMyH9fF06EpkpsKJ44-w_3_0"/>
      <w:bookmarkStart w:id="1196" w:name="Tc_jWCkY1Mrh0STtDY4KDk5OQ_2_0"/>
      <w:bookmarkStart w:id="1197" w:name="Tc_M0Dk-6fJyka8zYWx2_NUiQ_1_2"/>
      <w:bookmarkStart w:id="1198" w:name="Tc_mgWDv3AwDEqFsPbB-XayNw_1_0"/>
      <w:bookmarkStart w:id="1199" w:name="_57a67d06_8c99_455a_9920_07d2e038a578"/>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Pr>
          <w:rFonts w:ascii="Times New Roman;Times;serif" w:hAnsi="Times New Roman;Times;serif"/>
          <w:sz w:val="20"/>
        </w:rPr>
        <w:t>The details of mining machines are as follows:</w:t>
      </w:r>
    </w:p>
    <w:tbl>
      <w:tblPr>
        <w:tblW w:w="3778" w:type="dxa"/>
        <w:jc w:val="left"/>
        <w:tblInd w:w="0" w:type="dxa"/>
        <w:tblCellMar>
          <w:top w:w="0" w:type="dxa"/>
          <w:left w:w="0" w:type="dxa"/>
          <w:bottom w:w="0" w:type="dxa"/>
          <w:right w:w="0" w:type="dxa"/>
        </w:tblCellMar>
      </w:tblPr>
      <w:tblGrid>
        <w:gridCol w:w="2071"/>
        <w:gridCol w:w="326"/>
        <w:gridCol w:w="1381"/>
      </w:tblGrid>
      <w:tr>
        <w:trPr/>
        <w:tc>
          <w:tcPr>
            <w:tcW w:w="20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Mining Machines</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Cost:</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2020</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81,482</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Additions</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133,335</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(87,597)</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Exchange adjustments</w:t>
            </w:r>
          </w:p>
        </w:tc>
        <w:tc>
          <w:tcPr>
            <w:tcW w:w="326" w:type="dxa"/>
            <w:tcBorders/>
            <w:shd w:fill="CCEEFF" w:val="clear"/>
            <w:vAlign w:val="center"/>
          </w:tcPr>
          <w:p>
            <w:pPr>
              <w:pStyle w:val="TableContents"/>
              <w:spacing w:before="0" w:after="1"/>
              <w:ind w:left="0" w:right="0" w:hanging="0"/>
              <w:rPr/>
            </w:pPr>
            <w:r>
              <w:rPr/>
              <w:t> </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2,026</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2020</w:t>
            </w:r>
          </w:p>
        </w:tc>
        <w:tc>
          <w:tcPr>
            <w:tcW w:w="326" w:type="dxa"/>
            <w:tcBorders/>
            <w:shd w:fill="auto" w:val="clear"/>
            <w:vAlign w:val="center"/>
          </w:tcPr>
          <w:p>
            <w:pPr>
              <w:pStyle w:val="TableContents"/>
              <w:spacing w:before="0" w:after="1"/>
              <w:ind w:left="0" w:right="0" w:hanging="0"/>
              <w:rPr/>
            </w:pPr>
            <w:r>
              <w:rPr/>
              <w:t> </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129,246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Accumulated depreciation:</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  </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2020</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(32,357)</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Charge for the year</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(98,136)</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67,113</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Exchange adjustments</w:t>
            </w:r>
          </w:p>
        </w:tc>
        <w:tc>
          <w:tcPr>
            <w:tcW w:w="326" w:type="dxa"/>
            <w:tcBorders/>
            <w:shd w:fill="CCEEFF" w:val="clear"/>
            <w:vAlign w:val="center"/>
          </w:tcPr>
          <w:p>
            <w:pPr>
              <w:pStyle w:val="TableContents"/>
              <w:spacing w:before="0" w:after="1"/>
              <w:ind w:left="0" w:right="0" w:hanging="0"/>
              <w:rPr/>
            </w:pPr>
            <w:r>
              <w:rPr/>
              <w:t> </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(1,066)</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2020</w:t>
            </w:r>
          </w:p>
        </w:tc>
        <w:tc>
          <w:tcPr>
            <w:tcW w:w="326" w:type="dxa"/>
            <w:tcBorders/>
            <w:shd w:fill="auto" w:val="clear"/>
            <w:vAlign w:val="center"/>
          </w:tcPr>
          <w:p>
            <w:pPr>
              <w:pStyle w:val="TableContents"/>
              <w:spacing w:before="0" w:after="1"/>
              <w:ind w:left="0" w:right="0" w:hanging="0"/>
              <w:rPr/>
            </w:pPr>
            <w:r>
              <w:rPr/>
              <w:t> </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(64,446)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Impairment:</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  </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2020</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CCEEFF" w:val="clear"/>
            <w:vAlign w:val="center"/>
          </w:tcPr>
          <w:p>
            <w:pPr>
              <w:pStyle w:val="TableContents"/>
              <w:spacing w:before="0" w:after="1"/>
              <w:ind w:left="0" w:right="0" w:hanging="0"/>
              <w:rPr/>
            </w:pPr>
            <w:r>
              <w:rPr/>
              <w:t> </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2020</w:t>
            </w:r>
          </w:p>
        </w:tc>
        <w:tc>
          <w:tcPr>
            <w:tcW w:w="326" w:type="dxa"/>
            <w:tcBorders/>
            <w:shd w:fill="auto" w:val="clear"/>
            <w:vAlign w:val="center"/>
          </w:tcPr>
          <w:p>
            <w:pPr>
              <w:pStyle w:val="TableContents"/>
              <w:spacing w:before="0" w:after="1"/>
              <w:ind w:left="0" w:right="0" w:hanging="0"/>
              <w:rPr/>
            </w:pPr>
            <w:r>
              <w:rPr/>
              <w:t> </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book value:</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pPr>
            <w:r>
              <w:rPr/>
              <w:t>  </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2020</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64,800</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Cost:</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2021</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129,246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Additions</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31,645</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(37,998)</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Exchange adjustments</w:t>
            </w:r>
          </w:p>
        </w:tc>
        <w:tc>
          <w:tcPr>
            <w:tcW w:w="326" w:type="dxa"/>
            <w:tcBorders/>
            <w:shd w:fill="CCEEFF" w:val="cle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2021</w:t>
            </w:r>
          </w:p>
        </w:tc>
        <w:tc>
          <w:tcPr>
            <w:tcW w:w="326" w:type="dxa"/>
            <w:tcBorders/>
            <w:shd w:fill="auto" w:val="clear"/>
            <w:vAlign w:val="center"/>
          </w:tcPr>
          <w:p>
            <w:pPr>
              <w:pStyle w:val="TableContents"/>
              <w:spacing w:before="0" w:after="1"/>
              <w:ind w:left="0" w:right="0" w:hanging="0"/>
              <w:rPr/>
            </w:pPr>
            <w:r>
              <w:rPr/>
              <w:t> </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123,136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Accumulated depreciation:</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2021</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(64,446)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Charge for the year</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(43,857)</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32,005</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Exchange adjustments</w:t>
            </w:r>
          </w:p>
        </w:tc>
        <w:tc>
          <w:tcPr>
            <w:tcW w:w="326" w:type="dxa"/>
            <w:tcBorders/>
            <w:shd w:fill="CCEEFF" w:val="cle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(263)</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2021</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(76,561)</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Impairment:</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2021</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pPr>
            <w:r>
              <w:rPr/>
              <w:t>—</w:t>
            </w:r>
          </w:p>
        </w:tc>
      </w:tr>
      <w:tr>
        <w:trPr/>
        <w:tc>
          <w:tcPr>
            <w:tcW w:w="2071" w:type="dxa"/>
            <w:tcBorders/>
            <w:shd w:fill="CCEEFF" w:val="clear"/>
            <w:vAlign w:val="center"/>
          </w:tcPr>
          <w:p>
            <w:pPr>
              <w:pStyle w:val="TableContents"/>
              <w:pBdr/>
              <w:spacing w:lineRule="auto" w:line="240" w:before="0" w:after="1"/>
              <w:ind w:left="0" w:right="0" w:hanging="0"/>
              <w:rPr>
                <w:rFonts w:ascii="Times New Roman;Times;serif" w:hAnsi="Times New Roman;Times;serif"/>
                <w:sz w:val="16"/>
              </w:rPr>
            </w:pPr>
            <w:r>
              <w:rPr>
                <w:rFonts w:ascii="Times New Roman;Times;serif" w:hAnsi="Times New Roman;Times;serif"/>
                <w:sz w:val="16"/>
              </w:rPr>
              <w:t>Additions</w:t>
            </w:r>
            <w:r>
              <w:rPr>
                <w:rFonts w:ascii="Times New Roman;Times;serif" w:hAnsi="Times New Roman;Times;serif"/>
                <w:sz w:val="12"/>
              </w:rPr>
              <w:t>(1)</w:t>
            </w:r>
          </w:p>
        </w:tc>
        <w:tc>
          <w:tcPr>
            <w:tcW w:w="326" w:type="dxa"/>
            <w:tcBorders/>
            <w:shd w:fill="CCEEFF" w:val="cle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2021</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book value:</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2021</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46,469</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Cost:</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2022</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123,136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Additions</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12,016</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(12,949)</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2022</w:t>
            </w:r>
          </w:p>
        </w:tc>
        <w:tc>
          <w:tcPr>
            <w:tcW w:w="326" w:type="dxa"/>
            <w:tcBorders/>
            <w:shd w:fill="CCEEFF" w:val="cle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122,203</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Accumulated depreciation:</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pPr>
            <w:r>
              <w:rPr/>
              <w:t>​</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2022</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(76,561)</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Charge for the year</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(29,281)</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Disposals</w:t>
            </w:r>
          </w:p>
        </w:tc>
        <w:tc>
          <w:tcPr>
            <w:tcW w:w="326" w:type="dxa"/>
            <w:tcBorders/>
            <w:shd w:fill="CCEEFF" w:val="cle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11,443</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2022</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(94,399)</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Impairment:</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At January 1, 2022</w:t>
            </w:r>
          </w:p>
        </w:tc>
        <w:tc>
          <w:tcPr>
            <w:tcW w:w="326" w:type="dxa"/>
            <w:tcBorders/>
            <w:shd w:fill="auto" w:val="clear"/>
            <w:vAlign w:val="center"/>
          </w:tcPr>
          <w:p>
            <w:pPr>
              <w:pStyle w:val="TableContents"/>
              <w:spacing w:before="0" w:after="1"/>
              <w:ind w:left="0" w:right="0" w:hanging="0"/>
              <w:rPr/>
            </w:pPr>
            <w:r>
              <w:rPr/>
              <w:t>​</w:t>
            </w:r>
          </w:p>
        </w:tc>
        <w:tc>
          <w:tcPr>
            <w:tcW w:w="13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Disposal</w:t>
            </w:r>
          </w:p>
        </w:tc>
        <w:tc>
          <w:tcPr>
            <w:tcW w:w="326" w:type="dxa"/>
            <w:tcBorders/>
            <w:shd w:fill="CCEEFF" w:val="clear"/>
            <w:vAlign w:val="center"/>
          </w:tcPr>
          <w:p>
            <w:pPr>
              <w:pStyle w:val="TableContents"/>
              <w:spacing w:before="0" w:after="1"/>
              <w:ind w:left="0" w:right="0" w:hanging="0"/>
              <w:rPr/>
            </w:pPr>
            <w:r>
              <w:rPr/>
              <w:t>​</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2022</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207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book value:</w:t>
            </w:r>
          </w:p>
        </w:tc>
        <w:tc>
          <w:tcPr>
            <w:tcW w:w="326" w:type="dxa"/>
            <w:tcBorders/>
            <w:shd w:fill="CCEEFF" w:val="clear"/>
            <w:vAlign w:val="center"/>
          </w:tcPr>
          <w:p>
            <w:pPr>
              <w:pStyle w:val="TableContents"/>
              <w:spacing w:before="0" w:after="1"/>
              <w:ind w:left="0" w:right="0" w:hanging="0"/>
              <w:rPr/>
            </w:pPr>
            <w:r>
              <w:rPr/>
              <w:t>​</w:t>
            </w:r>
          </w:p>
        </w:tc>
        <w:tc>
          <w:tcPr>
            <w:tcW w:w="1381" w:type="dxa"/>
            <w:tcBorders/>
            <w:shd w:fill="CCEEFF"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At December 31, 2022</w:t>
            </w:r>
          </w:p>
        </w:tc>
        <w:tc>
          <w:tcPr>
            <w:tcW w:w="326" w:type="dxa"/>
            <w:tcBorders/>
            <w:shd w:fill="auto" w:val="clear"/>
            <w:vAlign w:val="center"/>
          </w:tcPr>
          <w:p>
            <w:pPr>
              <w:pStyle w:val="TableContents"/>
              <w:spacing w:before="0" w:after="1"/>
              <w:ind w:left="0" w:right="0" w:hanging="0"/>
              <w:rPr/>
            </w:pPr>
            <w:r>
              <w:rPr/>
              <w:t>​</w:t>
            </w:r>
          </w:p>
        </w:tc>
        <w:tc>
          <w:tcPr>
            <w:tcW w:w="13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27,703</w:t>
            </w:r>
          </w:p>
        </w:tc>
      </w:tr>
    </w:tbl>
    <w:tbl>
      <w:tblPr>
        <w:tblW w:w="3111" w:type="dxa"/>
        <w:jc w:val="left"/>
        <w:tblInd w:w="0" w:type="dxa"/>
        <w:tblCellMar>
          <w:top w:w="28" w:type="dxa"/>
          <w:left w:w="28" w:type="dxa"/>
          <w:bottom w:w="28" w:type="dxa"/>
          <w:right w:w="28" w:type="dxa"/>
        </w:tblCellMar>
      </w:tblPr>
      <w:tblGrid>
        <w:gridCol w:w="124"/>
        <w:gridCol w:w="331"/>
        <w:gridCol w:w="265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2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cost of revenue</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1200" w:name="Tc_NNXxhegoHkqX_RQZFqnLfg_37_0"/>
      <w:bookmarkStart w:id="1201" w:name="Tc_rQ5cFAyobEi4_maSFFp1XA_36_0"/>
      <w:bookmarkStart w:id="1202" w:name="Tc_Zvglhg8dtkukIDMEUNf8Aw_35_16"/>
      <w:bookmarkStart w:id="1203" w:name="Tc_e8fLXruXiUaZMTggS13yIQ_35_14"/>
      <w:bookmarkStart w:id="1204" w:name="Tc_HZFF91eImEuqUnTpd8w8Jw_35_12"/>
      <w:bookmarkStart w:id="1205" w:name="Tc_3wsFCJ_1ikCzuhrTyh8ssw_35_10"/>
      <w:bookmarkStart w:id="1206" w:name="Tc_8F2kOKjeAkm9Qm-x0uJRDA_35_8"/>
      <w:bookmarkStart w:id="1207" w:name="Tc_KtCC3qXRDUmnKPsfW-zTVg_35_6"/>
      <w:bookmarkStart w:id="1208" w:name="Tc_u-wv4L9yu0a1gflWjRAnqQ_35_4"/>
      <w:bookmarkStart w:id="1209" w:name="Tc_eFKxSHT7ZEC_cNlOTEo-dA_35_2"/>
      <w:bookmarkStart w:id="1210" w:name="Tc_UjZfWz9pokaCcvsXuuOuqg_35_0"/>
      <w:bookmarkStart w:id="1211" w:name="Tc_-1aK2sI0dUSUA8lbtcX62g_34_14"/>
      <w:bookmarkStart w:id="1212" w:name="Tc_rCtMzRM1zkKSyUGsOtU54Q_34_12"/>
      <w:bookmarkStart w:id="1213" w:name="Tc_vd1dVIx40Eeri4xVsFHEqg_34_10"/>
      <w:bookmarkStart w:id="1214" w:name="Tc_4aaJH2xUj0KwObVEcW5Ncg_34_8"/>
      <w:bookmarkStart w:id="1215" w:name="Tc_FmvF9mgy4kiuTmHJFu9AFA_34_6"/>
      <w:bookmarkStart w:id="1216" w:name="Tc_wBN4o8JEtEeakl0VN9CrFg_34_4"/>
      <w:bookmarkStart w:id="1217" w:name="Tc_plSBpyNnsEueAO4-Kw26Cg_34_0"/>
      <w:bookmarkStart w:id="1218" w:name="Tc_ycCIDHw4LEyqFJaa9Qps_A_33_14"/>
      <w:bookmarkStart w:id="1219" w:name="Tc_kUyoxK8pikKMT-acteXq_g_33_12"/>
      <w:bookmarkStart w:id="1220" w:name="Tc_4dM3kPz-bkWPUvfgpsz-Sw_33_10"/>
      <w:bookmarkStart w:id="1221" w:name="Tc_bDlm5_kEw0Kg05GH3HBphA_33_8"/>
      <w:bookmarkStart w:id="1222" w:name="Tc_WzHoeZlZ5EOF2Yk2RrFZFQ_33_6"/>
      <w:bookmarkStart w:id="1223" w:name="Tc_74kCcqFIp02EIi2jRm4Qvw_33_4"/>
      <w:bookmarkStart w:id="1224" w:name="Tc_3bjBdMduEEaeueQyQB08LA_33_0"/>
      <w:bookmarkStart w:id="1225" w:name="Tc_Yk6mIRmQ1EubugsMrqdzCA_32_0"/>
      <w:bookmarkStart w:id="1226" w:name="Tc_9ZOcq6gXik2OnRvhhRgKLQ_31_6"/>
      <w:bookmarkStart w:id="1227" w:name="Tc_hVnfn3bWMECwgYmCHg1YIA_31_2"/>
      <w:bookmarkStart w:id="1228" w:name="Tc_f1moHkHmQ0ikdO3sWpDFSQ_31_0"/>
      <w:bookmarkStart w:id="1229" w:name="Tc_2bv9QmwU7UKxUhlsPz9d5g_30_6"/>
      <w:bookmarkStart w:id="1230" w:name="Tc_3GLBoBYyKEOiFixQ9PCEZw_30_4"/>
      <w:bookmarkStart w:id="1231" w:name="Tc_gyKybdE5PEG5-gbZrkHZqA_30_2"/>
      <w:bookmarkStart w:id="1232" w:name="Tc_jXLQ9ekq106Oj2SAY9j1TA_30_0"/>
      <w:bookmarkStart w:id="1233" w:name="Tc_vJDbnyACyk65zNuynp9xIA_29_6"/>
      <w:bookmarkStart w:id="1234" w:name="Tc_HV3vwP6aDk6x2T_QoNaoxQ_29_2"/>
      <w:bookmarkStart w:id="1235" w:name="Tc_MRPbUTLeKEi989FcBdntHQ_29_0"/>
      <w:bookmarkStart w:id="1236" w:name="Tc_Dv_r063MtEetXyiBh_052g_28_6"/>
      <w:bookmarkStart w:id="1237" w:name="Tc_UEQDGAIjYE-Ka58znfsuyw_28_2"/>
      <w:bookmarkStart w:id="1238" w:name="Tc__LdWLFC0M06ATNskLED0nQ_28_0"/>
      <w:bookmarkStart w:id="1239" w:name="Tc_zy0ehpQOPUKO7Wu6lu8qVw_27_0"/>
      <w:bookmarkStart w:id="1240" w:name="Tc_bgFM2eoSkEqsvIeWnKHu8g_26_0"/>
      <w:bookmarkStart w:id="1241" w:name="Tc_cclMmsUX-0GLYWUoeM28dQ_25_6"/>
      <w:bookmarkStart w:id="1242" w:name="Tc_tkruc7eElUOh9g3E8hci0w_25_4"/>
      <w:bookmarkStart w:id="1243" w:name="Tc_BfDxUDzdXkybl2dkgB2ITA_25_0"/>
      <w:bookmarkStart w:id="1244" w:name="Tc_PtAquSpu4UmrdpfjofIyiA_24_16"/>
      <w:bookmarkStart w:id="1245" w:name="Tc_cwowN6N2EkmFaPoTCi7VwQ_24_6"/>
      <w:bookmarkStart w:id="1246" w:name="Tc_gTjbB38vG06K2MUKmnsQuQ_24_4"/>
      <w:bookmarkStart w:id="1247" w:name="Tc_Xz_WXswT_UObL3uJxtcg0w_24_0"/>
      <w:bookmarkStart w:id="1248" w:name="Tc_u-AxDLlLVUWguhFftLSitQ_23_12"/>
      <w:bookmarkStart w:id="1249" w:name="Tc_jVlbA3wrjEuvGkxwee6sbA_23_6"/>
      <w:bookmarkStart w:id="1250" w:name="Tc_bCA72trL8Ua3gLZpaySvQA_23_0"/>
      <w:bookmarkStart w:id="1251" w:name="Tc_7IJkVgQ29kGYqRcQKXVhJg_22_0"/>
      <w:bookmarkStart w:id="1252" w:name="Tc_I_uw-7lWzU-2CSnNjBKIPw_21_0"/>
      <w:bookmarkStart w:id="1253" w:name="Tc_7imEBkFmr0Serca8iQUQFw_20_0"/>
      <w:bookmarkStart w:id="1254" w:name="Tc_W-ez2prmfkO1R5nVWgss0g_19_0"/>
      <w:bookmarkStart w:id="1255" w:name="Tc_GEuxOBiggUKY8l8EicF9dQ_18_14"/>
      <w:bookmarkStart w:id="1256" w:name="Tc_NC5DvfDqrE6zvf8nP7AitA_18_12"/>
      <w:bookmarkStart w:id="1257" w:name="Tc_3HAeSS_o70C7EPEyzfYWnw_18_10"/>
      <w:bookmarkStart w:id="1258" w:name="Tc_2RpFObXlEE-5GA0b_If1eQ_18_8"/>
      <w:bookmarkStart w:id="1259" w:name="Tc_5GrD0dpJ6k-s8snBAaZIRg_18_6"/>
      <w:bookmarkStart w:id="1260" w:name="Tc_wLteRI5cFkahJRwCgC5Epg_18_4"/>
      <w:bookmarkStart w:id="1261" w:name="Tc_Xr59UDRyX0SNidW-t-vmkw_18_0"/>
      <w:bookmarkStart w:id="1262" w:name="Tc_IGbvbl5reESh-stpe_iddg_17_14"/>
      <w:bookmarkStart w:id="1263" w:name="Tc_Vc_d7c1cF0eYTAjrb3NV5w_17_12"/>
      <w:bookmarkStart w:id="1264" w:name="Tc_aBAALyaZ00adMjL9N58MOA_17_10"/>
      <w:bookmarkStart w:id="1265" w:name="Tc_LSgVFB5fFEiO39DuSzJumA_17_8"/>
      <w:bookmarkStart w:id="1266" w:name="Tc_ox6_R--5u0i0kMPXlxs9NQ_17_6"/>
      <w:bookmarkStart w:id="1267" w:name="Tc_sgR03Z1zOEKDMpQVBL3khA_17_4"/>
      <w:bookmarkStart w:id="1268" w:name="Tc_2eNRzAZfVU2Px9Sv0XdgVg_17_0"/>
      <w:bookmarkStart w:id="1269" w:name="Tc_JJbl_etbKEirOKmFyrX6_Q_16_16"/>
      <w:bookmarkStart w:id="1270" w:name="Tc_Im6WYCWumkqLPHllVMsKRA_16_14"/>
      <w:bookmarkStart w:id="1271" w:name="Tc_Qzh8OyzJX0qsSFnLU9Ssnw_16_12"/>
      <w:bookmarkStart w:id="1272" w:name="Tc_ZrQY0o07mk-qlgj9UEtcJg_16_10"/>
      <w:bookmarkStart w:id="1273" w:name="Tc_9s0VO2fOZEmv9z9qzvD4Qg_16_8"/>
      <w:bookmarkStart w:id="1274" w:name="Tc_rnTaZrShaECsCLKt4ItK2g_16_6"/>
      <w:bookmarkStart w:id="1275" w:name="Tc_B3udt1QhDk2DDql7znwXjA_16_4"/>
      <w:bookmarkStart w:id="1276" w:name="Tc_uV-KyMAQCkyijGA1iwK9KQ_16_2"/>
      <w:bookmarkStart w:id="1277" w:name="Tc_DWbhp0G2FUCIf3c8gw7DbQ_16_0"/>
      <w:bookmarkStart w:id="1278" w:name="Tc_LRR9jwcgqUqPz5S_qoQWlQ_15_0"/>
      <w:bookmarkStart w:id="1279" w:name="Tc_N2e6z0-hp0qW0OrDUF-i6w_14_6"/>
      <w:bookmarkStart w:id="1280" w:name="Tc_LqDRbfKJJ0ecrA6PIzS9Xg_14_2"/>
      <w:bookmarkStart w:id="1281" w:name="Tc_XM08RwTphUWJdrEx-Km_Fw_14_0"/>
      <w:bookmarkStart w:id="1282" w:name="Tc_PltD-dNMcEe0pICkpf79Mw_13_6"/>
      <w:bookmarkStart w:id="1283" w:name="Tc_E8Lwgqy0yEmuRvMV0FOH-Q_13_4"/>
      <w:bookmarkStart w:id="1284" w:name="Tc_3yrB9V6Fy0iFpnXpqgK7Ug_13_2"/>
      <w:bookmarkStart w:id="1285" w:name="Tc_9vfoMvXSD0GG7bVFZJ-iWA_13_0"/>
      <w:bookmarkStart w:id="1286" w:name="Tc_A688A7i_70ahHCs9KB8o0A_12_6"/>
      <w:bookmarkStart w:id="1287" w:name="Tc_skdWjW5yz0eV7FwY-ToiRg_12_2"/>
      <w:bookmarkStart w:id="1288" w:name="Tc_vnIbF0cttEKeevdeUXp8eQ_12_0"/>
      <w:bookmarkStart w:id="1289" w:name="Tc_jE0AqcCIDUCtqSwL5-v9bw_11_6"/>
      <w:bookmarkStart w:id="1290" w:name="Tc_H3aG_KJkIUCkCLfB9qUD1Q_11_2"/>
      <w:bookmarkStart w:id="1291" w:name="Tc_c4LFVEGNCEWZGIYPJdDVeQ_11_0"/>
      <w:bookmarkStart w:id="1292" w:name="Tc_Fa27HxiNCkCYR_Pd-u3OVQ_10_0"/>
      <w:bookmarkStart w:id="1293" w:name="Tc_xaah-bT8WESIXd-B2EV30A_9_0"/>
      <w:bookmarkStart w:id="1294" w:name="Tc_cSVFAC-lvka0NFQr25bdgQ_8_6"/>
      <w:bookmarkStart w:id="1295" w:name="Tc_rygiXWcU7EuydKE5Eawktw_8_4"/>
      <w:bookmarkStart w:id="1296" w:name="Tc_A3qn16G5Ik2GiUmy4vvWnw_8_2"/>
      <w:bookmarkStart w:id="1297" w:name="Tc_C2bSzwAc8kysYl6wfCQpOw_8_0"/>
      <w:bookmarkStart w:id="1298" w:name="Tc_5yt77U3vCUqKoJoTEauW6A_7_16"/>
      <w:bookmarkStart w:id="1299" w:name="Tc_vFlH2NZVdkeF2VjWsh4-NA_7_6"/>
      <w:bookmarkStart w:id="1300" w:name="Tc_I_seDFFF4UmfFddN871Tnw_7_0"/>
      <w:bookmarkStart w:id="1301" w:name="Tc_96s83izUwE6gWazxRideMw_6_0"/>
      <w:bookmarkStart w:id="1302" w:name="Tc_xSAgBG_G902IfpxhrenoYA_5_12"/>
      <w:bookmarkStart w:id="1303" w:name="Tc_KjSNhvFepUaMvtV7HFSAFw_5_6"/>
      <w:bookmarkStart w:id="1304" w:name="Tc_CfLdDJZZqkConNZEU5fXqQ_5_4"/>
      <w:bookmarkStart w:id="1305" w:name="Tc_ljhbZlm4iEGIrLTX_4ktMg_5_0"/>
      <w:bookmarkStart w:id="1306" w:name="Tc_C4h034Zk_ECV-lATO41rXw_4_0"/>
      <w:bookmarkStart w:id="1307" w:name="Tc_xC9RVGfHAUWM1yDaFQvLjQ_3_0"/>
      <w:bookmarkStart w:id="1308" w:name="Tc__XWDa8ycZUazAAiZFYDyVg_2_16"/>
      <w:bookmarkStart w:id="1309" w:name="Tc_1AbK8b8lV0a1rX9bh-0vtQ_2_14"/>
      <w:bookmarkStart w:id="1310" w:name="Tc_vceNLzKoIU-K78PyVlG-UA_2_12"/>
      <w:bookmarkStart w:id="1311" w:name="Tc_VtEzqaCpS0OyQS789jE4Eg_2_10"/>
      <w:bookmarkStart w:id="1312" w:name="Tc_-QNSLEsABUKVGgS8AAylng_2_8"/>
      <w:bookmarkStart w:id="1313" w:name="Tc_zr8wFBzBaE-2woS3GJD60A_2_6"/>
      <w:bookmarkStart w:id="1314" w:name="Tc_opwgpbMZ6kiiEWny3HfQ5w_2_4"/>
      <w:bookmarkStart w:id="1315" w:name="Tc_n-_cEOJcKkC9g2axGNOuog_2_2"/>
      <w:bookmarkStart w:id="1316" w:name="Tc_neSyDPjiyEmSUEKaD-CG8w_2_0"/>
      <w:bookmarkStart w:id="1317" w:name="Tc_Fvy_nxa8Aka29_p8XMy6LA_1_12"/>
      <w:bookmarkStart w:id="1318" w:name="Tc_57VqvduAwEaVNZ-w7Afv5w_1_10"/>
      <w:bookmarkStart w:id="1319" w:name="Tc_S_NDVhCYJEyYEQrqD-Lv3Q_1_2"/>
      <w:bookmarkStart w:id="1320" w:name="_cf0fcb10_61c8_453c_a34e_734a730ff50d"/>
      <w:bookmarkStart w:id="1321" w:name="_Hlk132267034"/>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rFonts w:ascii="Times New Roman;Times;serif" w:hAnsi="Times New Roman;Times;serif"/>
          <w:b/>
          <w:i w:val="false"/>
          <w:caps w:val="false"/>
          <w:smallCaps w:val="false"/>
          <w:sz w:val="20"/>
        </w:rPr>
        <w:t>11.</w:t>
      </w:r>
      <w:r>
        <w:rPr>
          <w:rFonts w:ascii="Times New Roman;Times;serif" w:hAnsi="Times New Roman;Times;serif"/>
          <w:b/>
          <w:sz w:val="20"/>
        </w:rPr>
        <w:t>PROPERTY, PLANT AND EQUIPMENT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details of property, plant and equipment are as follows:</w:t>
      </w:r>
    </w:p>
    <w:tbl>
      <w:tblPr>
        <w:tblW w:w="10432" w:type="dxa"/>
        <w:jc w:val="left"/>
        <w:tblInd w:w="0" w:type="dxa"/>
        <w:tblCellMar>
          <w:top w:w="0" w:type="dxa"/>
          <w:left w:w="0" w:type="dxa"/>
          <w:bottom w:w="0" w:type="dxa"/>
          <w:right w:w="0" w:type="dxa"/>
        </w:tblCellMar>
      </w:tblPr>
      <w:tblGrid>
        <w:gridCol w:w="1231"/>
        <w:gridCol w:w="326"/>
        <w:gridCol w:w="1051"/>
        <w:gridCol w:w="326"/>
        <w:gridCol w:w="706"/>
        <w:gridCol w:w="326"/>
        <w:gridCol w:w="481"/>
        <w:gridCol w:w="326"/>
        <w:gridCol w:w="886"/>
        <w:gridCol w:w="326"/>
        <w:gridCol w:w="856"/>
        <w:gridCol w:w="326"/>
        <w:gridCol w:w="1126"/>
        <w:gridCol w:w="326"/>
        <w:gridCol w:w="601"/>
        <w:gridCol w:w="326"/>
        <w:gridCol w:w="886"/>
      </w:tblGrid>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12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Electronic</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Leasehold</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    </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progress</w:t>
            </w:r>
          </w:p>
        </w:tc>
        <w:tc>
          <w:tcPr>
            <w:tcW w:w="326" w:type="dxa"/>
            <w:tcBorders/>
            <w:shd w:fill="auto" w:val="clear"/>
            <w:vAlign w:val="center"/>
          </w:tcPr>
          <w:p>
            <w:pPr>
              <w:pStyle w:val="TableContents"/>
              <w:spacing w:before="0" w:after="0"/>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w:t>
            </w:r>
          </w:p>
        </w:tc>
        <w:tc>
          <w:tcPr>
            <w:tcW w:w="326" w:type="dxa"/>
            <w:tcBorders/>
            <w:shd w:fill="auto" w:val="clear"/>
            <w:vAlign w:val="center"/>
          </w:tcPr>
          <w:p>
            <w:pPr>
              <w:pStyle w:val="TableContents"/>
              <w:spacing w:before="0" w:after="0"/>
              <w:ind w:left="0" w:right="0" w:hanging="0"/>
              <w:jc w:val="center"/>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Machinery</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26" w:type="dxa"/>
            <w:tcBorders/>
            <w:shd w:fill="auto" w:val="clear"/>
            <w:vAlign w:val="center"/>
          </w:tcPr>
          <w:p>
            <w:pPr>
              <w:pStyle w:val="TableContents"/>
              <w:spacing w:before="0" w:after="0"/>
              <w:ind w:left="0" w:right="0" w:hanging="0"/>
              <w:jc w:val="center"/>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2020</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12,596</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16,209</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5,445</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13,889</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50,330</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18,263</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19,414</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  </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transferred in</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(27,486)</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6,354</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3,858</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15,195</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2020</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22,563</w:t>
            </w:r>
          </w:p>
        </w:tc>
        <w:tc>
          <w:tcPr>
            <w:tcW w:w="326" w:type="dxa"/>
            <w:tcBorders/>
            <w:shd w:fill="CCEEFF" w:val="cle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9,143</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26" w:type="dxa"/>
            <w:tcBorders/>
            <w:shd w:fill="CCEEFF" w:val="clear"/>
            <w:vAlign w:val="center"/>
          </w:tcPr>
          <w:p>
            <w:pPr>
              <w:pStyle w:val="TableContents"/>
              <w:spacing w:before="0" w:after="0"/>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28,926</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68,527</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Accumulated depreciation:</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  </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2020</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(4,363)</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Charge for the year</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(7,177)</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0"/>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2020</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(10,418)</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Impairment:</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2020</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2020</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2020</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21,275</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7,950</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52,158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2021</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22,563</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9,143</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28,926</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68,527</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59,524</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3,228</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65,446</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Construction in progress transferred in</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(27,097)</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6,133</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19,646</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shd w:fill="CCEEFF" w:val="cle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shd w:fill="CCEEFF" w:val="clear"/>
            <w:vAlign w:val="center"/>
          </w:tcPr>
          <w:p>
            <w:pPr>
              <w:pStyle w:val="TableContents"/>
              <w:spacing w:before="0" w:after="0"/>
              <w:ind w:left="0" w:right="0" w:hanging="0"/>
              <w:rPr/>
            </w:pPr>
            <w:r>
              <w:rPr/>
              <w:t>​</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2021</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33,589</w:t>
            </w:r>
          </w:p>
        </w:tc>
        <w:tc>
          <w:tcPr>
            <w:tcW w:w="326" w:type="dxa"/>
            <w:tcBorders/>
            <w:shd w:fill="auto" w:val="cle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23,449</w:t>
            </w:r>
          </w:p>
        </w:tc>
        <w:tc>
          <w:tcPr>
            <w:tcW w:w="326"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15,734</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auto" w:val="clear"/>
            <w:vAlign w:val="center"/>
          </w:tcPr>
          <w:p>
            <w:pPr>
              <w:pStyle w:val="TableContents"/>
              <w:spacing w:before="0" w:after="0"/>
              <w:ind w:left="0" w:right="0" w:hanging="0"/>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48,425</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130,538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Accumulated depreciation:</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2021</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(10,418)</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Charge for the year</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(14,434)</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auto" w:val="clear"/>
            <w:vAlign w:val="center"/>
          </w:tcPr>
          <w:p>
            <w:pPr>
              <w:pStyle w:val="TableContents"/>
              <w:spacing w:before="0" w:after="0"/>
              <w:ind w:left="0" w:right="0" w:hanging="0"/>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2021</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26" w:type="dxa"/>
            <w:tcBorders/>
            <w:shd w:fill="CCEEFF" w:val="cle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shd w:fill="CCEEFF" w:val="clear"/>
            <w:vAlign w:val="center"/>
          </w:tcPr>
          <w:p>
            <w:pPr>
              <w:pStyle w:val="TableContents"/>
              <w:spacing w:before="0" w:after="0"/>
              <w:ind w:left="0" w:right="0" w:hanging="0"/>
              <w:rPr/>
            </w:pPr>
            <w:r>
              <w:rPr/>
              <w:t>​</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(21,111)</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(27,921)</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Impairment: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2021</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shd w:fill="auto" w:val="cle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2021</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2021</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33,589</w:t>
            </w:r>
          </w:p>
        </w:tc>
        <w:tc>
          <w:tcPr>
            <w:tcW w:w="326" w:type="dxa"/>
            <w:tcBorders/>
            <w:shd w:fill="CCEEFF" w:val="clear"/>
            <w:vAlign w:val="center"/>
          </w:tcPr>
          <w:p>
            <w:pPr>
              <w:pStyle w:val="TableContents"/>
              <w:spacing w:before="0" w:after="0"/>
              <w:ind w:left="0" w:right="0" w:hanging="0"/>
              <w:rPr/>
            </w:pPr>
            <w:r>
              <w:rPr/>
              <w:t>​</w:t>
            </w:r>
          </w:p>
        </w:tc>
        <w:tc>
          <w:tcPr>
            <w:tcW w:w="7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21,061</w:t>
            </w:r>
          </w:p>
        </w:tc>
        <w:tc>
          <w:tcPr>
            <w:tcW w:w="326" w:type="dxa"/>
            <w:tcBorders/>
            <w:shd w:fill="CCEEFF" w:val="clear"/>
            <w:vAlign w:val="center"/>
          </w:tcPr>
          <w:p>
            <w:pPr>
              <w:pStyle w:val="TableContents"/>
              <w:spacing w:before="0" w:after="0"/>
              <w:ind w:left="0" w:right="0" w:hanging="0"/>
              <w:rPr/>
            </w:pPr>
            <w:r>
              <w:rPr/>
              <w:t>​</w:t>
            </w:r>
          </w:p>
        </w:tc>
        <w:tc>
          <w:tcPr>
            <w:tcW w:w="4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13,307</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26" w:type="dxa"/>
            <w:tcBorders/>
            <w:shd w:fill="CCEEFF" w:val="clear"/>
            <w:vAlign w:val="center"/>
          </w:tcPr>
          <w:p>
            <w:pPr>
              <w:pStyle w:val="TableContents"/>
              <w:spacing w:before="0" w:after="0"/>
              <w:ind w:left="0" w:right="0" w:hanging="0"/>
              <w:rPr/>
            </w:pPr>
            <w:r>
              <w:rPr/>
              <w:t>​</w:t>
            </w:r>
          </w:p>
        </w:tc>
        <w:tc>
          <w:tcPr>
            <w:tcW w:w="11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27,314</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2,561</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102,617</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0"/>
        <w:ind w:left="0" w:right="0" w:hanging="0"/>
        <w:rPr/>
      </w:pPr>
      <w:bookmarkStart w:id="1322" w:name="Tc_sRe9ROkajkKvgMLGwsLW-w_16_0"/>
      <w:bookmarkStart w:id="1323" w:name="Tc_FHTWmVslu0iqcGJWoOSLZA_15_0"/>
      <w:bookmarkStart w:id="1324" w:name="Tc_0Bv6guO03ESGl-QyH6iomg_14_6"/>
      <w:bookmarkStart w:id="1325" w:name="Tc_JVJGxlk3jE27JLo1Uqd1DQ_14_2"/>
      <w:bookmarkStart w:id="1326" w:name="Tc_Vsl4VmumnEuB323sslEPQA_14_0"/>
      <w:bookmarkStart w:id="1327" w:name="Tc_9lR9acdj7U-LzL7ms7B1QQ_13_14"/>
      <w:bookmarkStart w:id="1328" w:name="Tc_gcurIFZH7k2oJ2nhd4WVsQ_13_12"/>
      <w:bookmarkStart w:id="1329" w:name="Tc_AqCC6OR8XUGyOfwjucsXAA_13_6"/>
      <w:bookmarkStart w:id="1330" w:name="Tc_2F9JSszisUq8m6aCZslulg_13_4"/>
      <w:bookmarkStart w:id="1331" w:name="Tc_RpvRbAt6ukiQOoWYXyQyNQ_13_2"/>
      <w:bookmarkStart w:id="1332" w:name="Tc_dbR5J7GNE0-CD3VRdHbl-Q_13_0"/>
      <w:bookmarkStart w:id="1333" w:name="Tc_Ep2RbcwxAU6bl1jM9tmgjQ_12_6"/>
      <w:bookmarkStart w:id="1334" w:name="Tc_eIO1rjPfqUqdQt2U7velWw_12_2"/>
      <w:bookmarkStart w:id="1335" w:name="Tc__16y6rRimUCMaVc3AfXgDQ_12_0"/>
      <w:bookmarkStart w:id="1336" w:name="Tc_4enjYM2ST06MM-jvbHbbKg_11_6"/>
      <w:bookmarkStart w:id="1337" w:name="Tc_bTH6yTVsZUWJ6CQh4PX0ig_11_2"/>
      <w:bookmarkStart w:id="1338" w:name="Tc_s9W743IPJEmSRnczqZAUsA_11_0"/>
      <w:bookmarkStart w:id="1339" w:name="Tc_95I-AyzyDUucGKyVnXLZtg_10_0"/>
      <w:bookmarkStart w:id="1340" w:name="Tc_xGd-HIaBM0qkdcqF7HjJzg_9_0"/>
      <w:bookmarkStart w:id="1341" w:name="Tc_HxA49YADTUCudh22aB3CWA_8_14"/>
      <w:bookmarkStart w:id="1342" w:name="Tc_PL-PEK3s1kejRX7uBuE7vg_8_12"/>
      <w:bookmarkStart w:id="1343" w:name="Tc_KIPXEzA9Wk2TE3dfhbDfHQ_8_6"/>
      <w:bookmarkStart w:id="1344" w:name="Tc_3k2H1OPty0-9_immGP2HvA_8_4"/>
      <w:bookmarkStart w:id="1345" w:name="Tc_COrPWD3MBkGwlsMIcjGWQw_8_2"/>
      <w:bookmarkStart w:id="1346" w:name="Tc_t9G8EdlRbU2HrMtA45YJqg_8_0"/>
      <w:bookmarkStart w:id="1347" w:name="Tc_s4gm4L3MHUKzUQxl0bHjFw_7_16"/>
      <w:bookmarkStart w:id="1348" w:name="Tc_-LYF6pBF1UmtvFfSPTQqug_7_6"/>
      <w:bookmarkStart w:id="1349" w:name="Tc_uEeY9Fk0zkSdXSJ6oGv7ug_7_4"/>
      <w:bookmarkStart w:id="1350" w:name="Tc_5tgsdPgAEUW-ocsjfF6D2Q_7_0"/>
      <w:bookmarkStart w:id="1351" w:name="Tc_XZRmps2D4U-7hUSQ5l6LNg_6_12"/>
      <w:bookmarkStart w:id="1352" w:name="Tc_XEQzq7U5Ekq1oVSFCQ-suw_6_8"/>
      <w:bookmarkStart w:id="1353" w:name="Tc_N4q-KS_sZ0G3AeQ0LfBMiA_6_6"/>
      <w:bookmarkStart w:id="1354" w:name="Tc_WPbV3ni45E-inliXJLvGqA_6_4"/>
      <w:bookmarkStart w:id="1355" w:name="Tc_i3S8sVulMUS5-kClcc_EXw_6_2"/>
      <w:bookmarkStart w:id="1356" w:name="Tc_sZBZXe8n3Ey-bhA01S1kPw_6_0"/>
      <w:bookmarkStart w:id="1357" w:name="Tc_tKHlCafUrEGGXi-497tssg_5_6"/>
      <w:bookmarkStart w:id="1358" w:name="Tc_UYNZBQGBikmV-s5qrNOGQQ_5_4"/>
      <w:bookmarkStart w:id="1359" w:name="Tc_ol90pDeMbUiotOA9esVBLA_5_0"/>
      <w:bookmarkStart w:id="1360" w:name="Tc_H933I9MOckOazoZXI672Uw_4_0"/>
      <w:bookmarkStart w:id="1361" w:name="Tc_3snMM7Feykq5tdKEPctULw_3_0"/>
      <w:bookmarkStart w:id="1362" w:name="Tc_-hjhnHH-aEWVVBQhuDPh8A_2_16"/>
      <w:bookmarkStart w:id="1363" w:name="Tc_Ma6nsxHlR066i6rTQ9qMJA_2_14"/>
      <w:bookmarkStart w:id="1364" w:name="Tc_TCC6wi1zWkimH7LFWv2Q2g_2_12"/>
      <w:bookmarkStart w:id="1365" w:name="Tc_yfEk1m-esUOjjThtSJNxzw_2_10"/>
      <w:bookmarkStart w:id="1366" w:name="Tc_VYf-rFu0DUySc1wX_Whv2g_2_8"/>
      <w:bookmarkStart w:id="1367" w:name="Tc_HD8PJOVoj0GIo7lpKLT_NQ_2_6"/>
      <w:bookmarkStart w:id="1368" w:name="Tc_cUyDt6HAeEmz7KP24uynrg_2_4"/>
      <w:bookmarkStart w:id="1369" w:name="Tc_gYcjn5bEIU6GS2ra5UqhEA_2_2"/>
      <w:bookmarkStart w:id="1370" w:name="Tc_pYapFynfXkG6kNLPY-dRjg_2_0"/>
      <w:bookmarkStart w:id="1371" w:name="Tc_1w7hOZ3voUuYKpa136nObA_1_12"/>
      <w:bookmarkStart w:id="1372" w:name="Tc_iWmOnsBaSUurZgidHiJNHg_1_10"/>
      <w:bookmarkStart w:id="1373" w:name="Tc_Tex1SSXclkq0JOS-Z1VZjg_1_2"/>
      <w:bookmarkStart w:id="1374" w:name="_5f607c1c_4410_421b_81cb_4ba59401da4c"/>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r>
        <w:rPr/>
        <w:t>​</w:t>
      </w:r>
    </w:p>
    <w:tbl>
      <w:tblPr>
        <w:tblW w:w="10567" w:type="dxa"/>
        <w:jc w:val="left"/>
        <w:tblInd w:w="0" w:type="dxa"/>
        <w:tblCellMar>
          <w:top w:w="0" w:type="dxa"/>
          <w:left w:w="0" w:type="dxa"/>
          <w:bottom w:w="0" w:type="dxa"/>
          <w:right w:w="0" w:type="dxa"/>
        </w:tblCellMar>
      </w:tblPr>
      <w:tblGrid>
        <w:gridCol w:w="1231"/>
        <w:gridCol w:w="326"/>
        <w:gridCol w:w="1096"/>
        <w:gridCol w:w="326"/>
        <w:gridCol w:w="706"/>
        <w:gridCol w:w="326"/>
        <w:gridCol w:w="481"/>
        <w:gridCol w:w="326"/>
        <w:gridCol w:w="886"/>
        <w:gridCol w:w="326"/>
        <w:gridCol w:w="856"/>
        <w:gridCol w:w="326"/>
        <w:gridCol w:w="1186"/>
        <w:gridCol w:w="326"/>
        <w:gridCol w:w="631"/>
        <w:gridCol w:w="326"/>
        <w:gridCol w:w="886"/>
      </w:tblGrid>
      <w:tr>
        <w:trPr/>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12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 </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Electronic</w:t>
            </w:r>
          </w:p>
        </w:tc>
        <w:tc>
          <w:tcPr>
            <w:tcW w:w="326" w:type="dxa"/>
            <w:tcBorders/>
            <w:shd w:fill="auto" w:val="clear"/>
            <w:vAlign w:val="center"/>
          </w:tcPr>
          <w:p>
            <w:pPr>
              <w:pStyle w:val="TableContents"/>
              <w:spacing w:before="0" w:after="0"/>
              <w:ind w:left="0" w:right="0" w:hanging="0"/>
              <w:jc w:val="center"/>
              <w:rPr/>
            </w:pPr>
            <w:r>
              <w:rPr/>
              <w:t>    </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Leasehold</w:t>
            </w:r>
          </w:p>
        </w:tc>
        <w:tc>
          <w:tcPr>
            <w:tcW w:w="32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pPr>
            <w:r>
              <w:rPr/>
              <w:t>​</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progress</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w:t>
            </w:r>
          </w:p>
        </w:tc>
        <w:tc>
          <w:tcPr>
            <w:tcW w:w="326" w:type="dxa"/>
            <w:tcBorders/>
            <w:shd w:fill="auto" w:val="clear"/>
            <w:vAlign w:val="center"/>
          </w:tcPr>
          <w:p>
            <w:pPr>
              <w:pStyle w:val="TableContents"/>
              <w:spacing w:before="0" w:after="0"/>
              <w:ind w:left="0" w:right="0" w:hanging="0"/>
              <w:jc w:val="center"/>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Machinery</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shd w:fill="auto" w:val="clear"/>
            <w:vAlign w:val="center"/>
          </w:tcPr>
          <w:p>
            <w:pPr>
              <w:pStyle w:val="TableContents"/>
              <w:spacing w:before="0" w:after="0"/>
              <w:ind w:left="0" w:right="0" w:hanging="0"/>
              <w:jc w:val="center"/>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improvements</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spacing w:before="0" w:after="0"/>
              <w:ind w:left="0" w:right="0" w:hanging="0"/>
              <w:jc w:val="center"/>
              <w:rPr/>
            </w:pPr>
            <w:r>
              <w:rPr/>
              <w:t>​</w:t>
            </w:r>
          </w:p>
        </w:tc>
        <w:tc>
          <w:tcPr>
            <w:tcW w:w="109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70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48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88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85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8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63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886" w:type="dxa"/>
            <w:tcBorders/>
            <w:shd w:fill="CCEEFF" w:val="clear"/>
            <w:vAlign w:val="center"/>
          </w:tcPr>
          <w:p>
            <w:pPr>
              <w:pStyle w:val="TableContents"/>
              <w:spacing w:before="0" w:after="0"/>
              <w:ind w:left="0" w:right="0" w:hanging="0"/>
              <w:jc w:val="center"/>
              <w:rPr/>
            </w:pPr>
            <w:r>
              <w:rPr/>
              <w:t>  </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2022</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33,589</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23,449</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15,734</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48,425</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130,538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54,107</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4,681</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2,431</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66,742</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 related to asset acquisition (See Note 5)</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Construction in progress transferred in</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(71,184)</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16,132</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53,661</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16,512</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23,449</w:t>
            </w:r>
          </w:p>
        </w:tc>
        <w:tc>
          <w:tcPr>
            <w:tcW w:w="326" w:type="dxa"/>
            <w:tcBorders/>
            <w:shd w:fill="CCEEFF" w:val="cle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32,872</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10,624</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104,517</w:t>
            </w:r>
          </w:p>
        </w:tc>
        <w:tc>
          <w:tcPr>
            <w:tcW w:w="326" w:type="dxa"/>
            <w:tcBorders/>
            <w:shd w:fill="CCEEFF" w:val="cle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8,428</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196,886</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Accumulated depreciation:</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  </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January 1, 2022</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(21,111)</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(27,921)</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Charge for the year</w:t>
            </w:r>
          </w:p>
        </w:tc>
        <w:tc>
          <w:tcPr>
            <w:tcW w:w="326"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(4,392)</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(21,892)</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(30,438)</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(3,525)</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(6,803)</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(43,003)</w:t>
            </w:r>
          </w:p>
        </w:tc>
        <w:tc>
          <w:tcPr>
            <w:tcW w:w="32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(2,446)</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(58,250)</w:t>
            </w:r>
          </w:p>
        </w:tc>
      </w:tr>
      <w:tr>
        <w:trPr/>
        <w:tc>
          <w:tcPr>
            <w:tcW w:w="123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123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16,512</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19,924</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26,069</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61,514</w:t>
            </w:r>
          </w:p>
        </w:tc>
        <w:tc>
          <w:tcPr>
            <w:tcW w:w="326" w:type="dxa"/>
            <w:tcBorders/>
            <w:shd w:fill="auto" w:val="clear"/>
            <w:vAlign w:val="center"/>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5,982</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138,636</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Construction in progress primarily represents the construction of mining datacenters.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 ended December 2020, and the period from January 1, 2021 to January 26, 2021, approximately US$0.3 million and US$0.02 million of depreciation expense was allocated to Bitmain and included in changes in invested capital, respectively.</w:t>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bookmarkStart w:id="1375" w:name="Tc_vn4_42sgD0WovuMr7CBhEw_14_0"/>
      <w:bookmarkStart w:id="1376" w:name="Tc_MrgCtzJUNUOSEQNG-c10XQ_13_0"/>
      <w:bookmarkStart w:id="1377" w:name="Tc_kleU6_pT8UyOdHyrwfDXww_12_0"/>
      <w:bookmarkStart w:id="1378" w:name="Tc_4conuLI5FUGN4e4C4-_FQA_11_0"/>
      <w:bookmarkStart w:id="1379" w:name="Tc_lS9eYWXV9E-9muwTX_Mgkg_10_0"/>
      <w:bookmarkStart w:id="1380" w:name="Tc_6AwqmVGgW0i2PIqajdJiKw_9_8"/>
      <w:bookmarkStart w:id="1381" w:name="Tc_T219kv6TQEGe4A1D9pP1Dw_9_6"/>
      <w:bookmarkStart w:id="1382" w:name="Tc_5kmYE9p61E6wDaOR5EDl0Q_9_4"/>
      <w:bookmarkStart w:id="1383" w:name="Tc_mHpC2gDBEkWtlwGoyMrGpQ_9_2"/>
      <w:bookmarkStart w:id="1384" w:name="Tc_gbBN6fieOkyVqVh2Vupdvg_9_0"/>
      <w:bookmarkStart w:id="1385" w:name="Tc_CKVR6s7s9U6UWwoWVwdNEA_8_0"/>
      <w:bookmarkStart w:id="1386" w:name="Tc_9NdfqiVKWk6IGynW2fzdYQ_7_0"/>
      <w:bookmarkStart w:id="1387" w:name="Tc_cs3BOh6BvkqeVrt8jjEEVg_6_0"/>
      <w:bookmarkStart w:id="1388" w:name="Tc_D7jd0migcEiFL86vDD0NQg_5_6"/>
      <w:bookmarkStart w:id="1389" w:name="Tc_X8DZ8XCksEytRnd1JScRcA_5_4"/>
      <w:bookmarkStart w:id="1390" w:name="Tc_5dJksW8nkUaLU8wGnIb2Cg_5_0"/>
      <w:bookmarkStart w:id="1391" w:name="Tc_kIaWp6zxRkuX2dIfRmXrrw_4_0"/>
      <w:bookmarkStart w:id="1392" w:name="Tc_tRgfC4WXRUeMRM5doE6DLw_3_8"/>
      <w:bookmarkStart w:id="1393" w:name="Tc_BVWVPkXuikGj-ncfOKbTdA_3_6"/>
      <w:bookmarkStart w:id="1394" w:name="Tc_8HYd4m50MkqrPQFgykKd8A_3_4"/>
      <w:bookmarkStart w:id="1395" w:name="Tc_erea9dDAQ0qyW1hKpR2RKQ_3_2"/>
      <w:bookmarkStart w:id="1396" w:name="Tc_OlLzAJG9BUaoZCuSRmDPxw_3_0"/>
      <w:bookmarkStart w:id="1397" w:name="Tc_5r__Be8YOUecWNxlh78KMA_2_0"/>
      <w:bookmarkStart w:id="1398" w:name="Tc_B3j4y24iVkG-C-QGj20cFg_1_8"/>
      <w:bookmarkStart w:id="1399" w:name="Tc_WvqHYQsfD0upW4u75hpdWQ_1_6"/>
      <w:bookmarkStart w:id="1400" w:name="Tc_MlBov5V2RUSrsqBLPHrEyg_1_4"/>
      <w:bookmarkStart w:id="1401" w:name="Tc_tXAyNResLU6bZr3nHT5xBg_1_2"/>
      <w:bookmarkStart w:id="1402" w:name="Tc_3A6fRB7tfEOkHgx88WtNyQ_1_0"/>
      <w:bookmarkStart w:id="1403" w:name="_c11dfcbb_e92d_416d_9ae7_b0fa121f5f2b"/>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r>
        <w:rPr>
          <w:rFonts w:ascii="Times New Roman;Times;serif" w:hAnsi="Times New Roman;Times;serif"/>
          <w:b/>
          <w:i w:val="false"/>
          <w:caps w:val="false"/>
          <w:smallCaps w:val="false"/>
          <w:sz w:val="20"/>
        </w:rPr>
        <w:t>12.</w:t>
      </w:r>
      <w:r>
        <w:rPr>
          <w:rFonts w:ascii="Times New Roman;Times;serif" w:hAnsi="Times New Roman;Times;serif"/>
          <w:b/>
          <w:sz w:val="20"/>
        </w:rPr>
        <w:t>INVESTMENT PROPERTIES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detail of investment properties is as follows:</w:t>
      </w:r>
    </w:p>
    <w:tbl>
      <w:tblPr>
        <w:tblW w:w="6979" w:type="dxa"/>
        <w:jc w:val="left"/>
        <w:tblInd w:w="0" w:type="dxa"/>
        <w:tblCellMar>
          <w:top w:w="0" w:type="dxa"/>
          <w:left w:w="0" w:type="dxa"/>
          <w:bottom w:w="0" w:type="dxa"/>
          <w:right w:w="0" w:type="dxa"/>
        </w:tblCellMar>
      </w:tblPr>
      <w:tblGrid>
        <w:gridCol w:w="2401"/>
        <w:gridCol w:w="326"/>
        <w:gridCol w:w="1186"/>
        <w:gridCol w:w="326"/>
        <w:gridCol w:w="706"/>
        <w:gridCol w:w="326"/>
        <w:gridCol w:w="601"/>
        <w:gridCol w:w="326"/>
        <w:gridCol w:w="781"/>
      </w:tblGrid>
      <w:tr>
        <w:trPr/>
        <w:tc>
          <w:tcPr>
            <w:tcW w:w="2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524635" cy="175260"/>
                      <wp:effectExtent l="0" t="0" r="0" b="0"/>
                      <wp:wrapNone/>
                      <wp:docPr id="279" name="Frame278"/>
                      <a:graphic xmlns:a="http://schemas.openxmlformats.org/drawingml/2006/main">
                        <a:graphicData uri="http://schemas.microsoft.com/office/word/2010/wordprocessingShape">
                          <wps:wsp>
                            <wps:cNvSpPr txBox="1"/>
                            <wps:spPr>
                              <a:xfrm>
                                <a:off x="0" y="0"/>
                                <a:ext cx="1524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53110" cy="175260"/>
                      <wp:effectExtent l="0" t="0" r="0" b="0"/>
                      <wp:wrapNone/>
                      <wp:docPr id="281" name="Frame280"/>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48310" cy="175260"/>
                      <wp:effectExtent l="0" t="0" r="0" b="0"/>
                      <wp:wrapNone/>
                      <wp:docPr id="283" name="Frame282"/>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81635" cy="175260"/>
                      <wp:effectExtent l="0" t="0" r="0" b="0"/>
                      <wp:wrapNone/>
                      <wp:docPr id="285" name="Frame284"/>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7" name="Frame2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Leasehold land</w:t>
            </w:r>
          </w:p>
        </w:tc>
        <w:tc>
          <w:tcPr>
            <w:tcW w:w="326" w:type="dxa"/>
            <w:tcBorders/>
            <w:shd w:fill="auto" w:val="clear"/>
            <w:vAlign w:val="center"/>
          </w:tcPr>
          <w:p>
            <w:pPr>
              <w:pStyle w:val="TableContents"/>
              <w:spacing w:before="0" w:after="1"/>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Building</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At July 1, 2022*</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Acquisition of assets</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4,833</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29,773</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34,986</w: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Exchange adjustments</w:t>
            </w:r>
          </w:p>
        </w:tc>
        <w:tc>
          <w:tcPr>
            <w:tcW w:w="326" w:type="dxa"/>
            <w:tcBorders/>
            <w:shd w:fill="CCEEFF" w:val="clear"/>
            <w:vAlign w:val="center"/>
          </w:tcPr>
          <w:p>
            <w:pPr>
              <w:pStyle w:val="TableContents"/>
              <w:spacing w:before="0" w:after="1"/>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CCEEFF" w:val="cle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auto" w:val="clear"/>
            <w:vAlign w:val="center"/>
          </w:tcPr>
          <w:p>
            <w:pPr>
              <w:pStyle w:val="TableContents"/>
              <w:spacing w:before="0" w:after="1"/>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5,746</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30,679</w:t>
            </w:r>
          </w:p>
        </w:tc>
        <w:tc>
          <w:tcPr>
            <w:tcW w:w="326" w:type="dxa"/>
            <w:tcBorders/>
            <w:shd w:fill="auto" w:val="cle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36,819</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Accumulated depreciation:</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At January 1, 2022</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Charge for the year</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(1,237)</w: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Exchange adjustments</w:t>
            </w:r>
          </w:p>
        </w:tc>
        <w:tc>
          <w:tcPr>
            <w:tcW w:w="326" w:type="dxa"/>
            <w:tcBorders/>
            <w:shd w:fill="auto" w:val="clear"/>
            <w:vAlign w:val="center"/>
          </w:tcPr>
          <w:p>
            <w:pPr>
              <w:pStyle w:val="TableContents"/>
              <w:spacing w:before="0" w:after="1"/>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CCEEFF" w:val="clear"/>
            <w:vAlign w:val="center"/>
          </w:tcPr>
          <w:p>
            <w:pPr>
              <w:pStyle w:val="TableContents"/>
              <w:spacing w:before="0" w:after="1"/>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shd w:fill="CCEEFF" w:val="cle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r>
      <w:tr>
        <w:trPr/>
        <w:tc>
          <w:tcPr>
            <w:tcW w:w="240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r>
      <w:tr>
        <w:trPr/>
        <w:tc>
          <w:tcPr>
            <w:tcW w:w="24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CCEEFF" w:val="clear"/>
            <w:vAlign w:val="center"/>
          </w:tcPr>
          <w:p>
            <w:pPr>
              <w:pStyle w:val="TableContents"/>
              <w:spacing w:before="0" w:after="1"/>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5,547</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29,628</w:t>
            </w:r>
          </w:p>
        </w:tc>
        <w:tc>
          <w:tcPr>
            <w:tcW w:w="326" w:type="dxa"/>
            <w:tcBorders/>
            <w:shd w:fill="CCEEFF" w:val="clear"/>
            <w:vAlign w:val="center"/>
          </w:tcPr>
          <w:p>
            <w:pPr>
              <w:pStyle w:val="TableContents"/>
              <w:spacing w:before="0" w:after="1"/>
              <w:ind w:left="0" w:right="0" w:hanging="0"/>
              <w:rPr/>
            </w:pPr>
            <w:r>
              <w:rPr/>
              <w:t> </w:t>
            </w:r>
          </w:p>
        </w:tc>
        <w:tc>
          <w:tcPr>
            <w:tcW w:w="6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35,542</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The investment properties were acquired from the acquisition of AFH, which was closed on July 1, 2022. See Note 5</w:t>
      </w:r>
    </w:p>
    <w:p>
      <w:pPr>
        <w:pStyle w:val="TextBody"/>
        <w:spacing w:before="0" w:after="240"/>
        <w:ind w:left="0" w:right="0" w:firstLine="475"/>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Leasehold land included in investment properties were right-of-use assets associated with leasehold land under operating leases where the building was constructed on. See Note 13.</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leases the investment properties to its customers under operating leases for terms ranging from 1 to 12 years, with an </w:t>
      </w:r>
      <w:r>
        <w:rPr>
          <w:rFonts w:ascii="Times New Roman;Times;serif" w:hAnsi="Times New Roman;Times;serif"/>
          <w:b w:val="false"/>
          <w:i w:val="false"/>
          <w:caps w:val="false"/>
          <w:smallCaps w:val="false"/>
          <w:sz w:val="20"/>
        </w:rPr>
        <w:t>option to extend</w:t>
      </w:r>
      <w:r>
        <w:rPr>
          <w:rFonts w:ascii="Times New Roman;Times;serif" w:hAnsi="Times New Roman;Times;serif"/>
          <w:sz w:val="20"/>
        </w:rPr>
        <w:t xml:space="preserve"> for an additional lease term. The lease contracts contain market review clauses in the event that the lessees exercise their options to extend. The lessees do not have bargain purchase options to acquire the investment properties at the expiry of the lease term.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0"/>
        <w:ind w:left="0" w:right="0" w:firstLine="360"/>
        <w:jc w:val="both"/>
        <w:rPr>
          <w:rFonts w:ascii="Times New Roman;Times;serif" w:hAnsi="Times New Roman;Times;serif"/>
          <w:sz w:val="20"/>
        </w:rPr>
      </w:pPr>
      <w:bookmarkStart w:id="1404" w:name="Tc_M0xff-N8WECaIj4Gpg8oNA_9_0"/>
      <w:bookmarkStart w:id="1405" w:name="Tc_mNfp1KgT5E2C6dSKm38f9A_8_0"/>
      <w:bookmarkStart w:id="1406" w:name="Tc_2miuvrOh7UiGchxyEyjQ2w_7_0"/>
      <w:bookmarkStart w:id="1407" w:name="Tc_ItNZJsy9Yk2-gZeFIH3p2w_6_0"/>
      <w:bookmarkStart w:id="1408" w:name="Tc_NWyXfdyyaE--6m1yxvMVDg_5_0"/>
      <w:bookmarkStart w:id="1409" w:name="Tc_lHTH7q3odkCq6EXqKt9f4w_4_0"/>
      <w:bookmarkStart w:id="1410" w:name="Tc_pS-ykBdHSkS3j5ktKWlVcw_3_0"/>
      <w:bookmarkStart w:id="1411" w:name="Tc_150sSdsyQU-Ckp2676QH1Q_2_2"/>
      <w:bookmarkStart w:id="1412" w:name="Tc_Zjs5BSEuYkCO3L4903ZwkQ_2_0"/>
      <w:bookmarkStart w:id="1413" w:name="Tc_Qbpl-hdI7kK0sC0UvCFE9Q_1_2"/>
      <w:bookmarkStart w:id="1414" w:name="_b2031bb2_f6d2_4861_8dd6_22d3f749ee42"/>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sz w:val="20"/>
        </w:rPr>
        <w:t>The maturity analysis of lease payments receivable under operating leases of investment properties was as follows:</w:t>
      </w:r>
    </w:p>
    <w:p>
      <w:pPr>
        <w:pStyle w:val="TextBody"/>
        <w:spacing w:before="0" w:after="240"/>
        <w:ind w:left="0" w:right="0" w:firstLine="475"/>
        <w:jc w:val="both"/>
        <w:rPr/>
      </w:pPr>
      <w:r>
        <w:rPr/>
        <w:t>​</w:t>
      </w:r>
    </w:p>
    <w:tbl>
      <w:tblPr>
        <w:tblW w:w="3298" w:type="dxa"/>
        <w:jc w:val="left"/>
        <w:tblInd w:w="0" w:type="dxa"/>
        <w:tblCellMar>
          <w:top w:w="0" w:type="dxa"/>
          <w:left w:w="0" w:type="dxa"/>
          <w:bottom w:w="0" w:type="dxa"/>
          <w:right w:w="0" w:type="dxa"/>
        </w:tblCellMar>
      </w:tblPr>
      <w:tblGrid>
        <w:gridCol w:w="1606"/>
        <w:gridCol w:w="326"/>
        <w:gridCol w:w="1366"/>
      </w:tblGrid>
      <w:tr>
        <w:trPr/>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019810" cy="175260"/>
                      <wp:effectExtent l="0" t="0" r="0" b="0"/>
                      <wp:wrapNone/>
                      <wp:docPr id="288" name="Frame287"/>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67410" cy="175260"/>
                      <wp:effectExtent l="0" t="0" r="0" b="0"/>
                      <wp:wrapNone/>
                      <wp:docPr id="290" name="Frame289"/>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1606" w:type="dxa"/>
            <w:tcBorders/>
            <w:shd w:fill="auto" w:val="clear"/>
            <w:vAlign w:val="center"/>
          </w:tcPr>
          <w:p>
            <w:pPr>
              <w:pStyle w:val="TableContents"/>
              <w:pBdr/>
              <w:spacing w:before="0" w:after="1"/>
              <w:ind w:left="0" w:right="0" w:hanging="0"/>
              <w:rPr>
                <w:rFonts w:ascii="Times New Roman;Times;serif" w:hAnsi="Times New Roman;Times;serif"/>
                <w:b/>
                <w:color w:val="231F20"/>
                <w:sz w:val="16"/>
              </w:rPr>
            </w:pPr>
            <w:r>
              <w:rPr>
                <w:rFonts w:ascii="Times New Roman;Times;serif" w:hAnsi="Times New Roman;Times;serif"/>
                <w:b/>
                <w:color w:val="231F20"/>
                <w:sz w:val="16"/>
              </w:rPr>
              <w:t>In thousands of USD</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366" w:type="dxa"/>
            <w:tcBorders>
              <w:bottom w:val="single" w:sz="2" w:space="0" w:color="231F2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160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2023</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3,600</w:t>
            </w:r>
          </w:p>
        </w:tc>
      </w:tr>
      <w:tr>
        <w:trPr/>
        <w:tc>
          <w:tcPr>
            <w:tcW w:w="160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2024</w:t>
            </w:r>
          </w:p>
        </w:tc>
        <w:tc>
          <w:tcPr>
            <w:tcW w:w="32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3,701</w:t>
            </w:r>
          </w:p>
        </w:tc>
      </w:tr>
      <w:tr>
        <w:trPr/>
        <w:tc>
          <w:tcPr>
            <w:tcW w:w="160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2025</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r>
      <w:tr>
        <w:trPr/>
        <w:tc>
          <w:tcPr>
            <w:tcW w:w="160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2026</w:t>
            </w:r>
          </w:p>
        </w:tc>
        <w:tc>
          <w:tcPr>
            <w:tcW w:w="32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2,492</w:t>
            </w:r>
          </w:p>
        </w:tc>
      </w:tr>
      <w:tr>
        <w:trPr/>
        <w:tc>
          <w:tcPr>
            <w:tcW w:w="160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2027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1,855</w:t>
            </w:r>
          </w:p>
        </w:tc>
      </w:tr>
      <w:tr>
        <w:trPr/>
        <w:tc>
          <w:tcPr>
            <w:tcW w:w="160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Thereafter</w:t>
            </w:r>
          </w:p>
        </w:tc>
        <w:tc>
          <w:tcPr>
            <w:tcW w:w="326" w:type="dxa"/>
            <w:tcBorders/>
            <w:shd w:fill="auto" w:val="clear"/>
            <w:vAlign w:val="center"/>
          </w:tcPr>
          <w:p>
            <w:pPr>
              <w:pStyle w:val="TableContents"/>
              <w:spacing w:before="0" w:after="1"/>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4,711</w:t>
            </w:r>
          </w:p>
        </w:tc>
      </w:tr>
      <w:tr>
        <w:trPr/>
        <w:tc>
          <w:tcPr>
            <w:tcW w:w="1606"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 xml:space="preserve">Total </w:t>
            </w:r>
          </w:p>
        </w:tc>
        <w:tc>
          <w:tcPr>
            <w:tcW w:w="326" w:type="dxa"/>
            <w:tcBorders/>
            <w:shd w:fill="CCEEFF" w:val="clear"/>
            <w:vAlign w:val="center"/>
          </w:tcPr>
          <w:p>
            <w:pPr>
              <w:pStyle w:val="TableContents"/>
              <w:spacing w:before="0" w:after="1"/>
              <w:ind w:left="0" w:right="0" w:hanging="0"/>
              <w:rPr/>
            </w:pPr>
            <w:r>
              <w:rPr/>
              <w:t> </w:t>
            </w:r>
          </w:p>
        </w:tc>
        <w:tc>
          <w:tcPr>
            <w:tcW w:w="13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19,588</w:t>
            </w:r>
          </w:p>
        </w:tc>
      </w:tr>
    </w:tbl>
    <w:p>
      <w:pPr>
        <w:pStyle w:val="TextBody"/>
        <w:spacing w:before="0" w:after="240"/>
        <w:ind w:left="0" w:right="0" w:firstLine="475"/>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no restrictions on the use of its investment properties and no contractual obligations to each investment property purchased or for repairs, maintenance and enhancements.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investment properties of the Group as of December 31, 2022 was determined using the income approach with the assistance of an independent valuation specialist. The investment properties were classified as Level 3 in the fair value hierarchy.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income approach, the estimated fair value of the investment properties is based on the operation projection and the discount rate. The fair value of investment properties as of December 31, 2022 was approximately US$36.2 million.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did not record any impairment related to investment properties in the year ended December 31, 2022.</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1415" w:name="Tc_8bugBypyD0WWs7KZw3e4gg_6_2"/>
      <w:bookmarkStart w:id="1416" w:name="Tc_4EJ0nRjy3UOYxfFtCeJDJA_6_0"/>
      <w:bookmarkStart w:id="1417" w:name="Tc_t0l4Bvd-O0CnpimnRa7leg_5_0"/>
      <w:bookmarkStart w:id="1418" w:name="Tc_w88ajt8kDEGi1bGstZCXiA_4_0"/>
      <w:bookmarkStart w:id="1419" w:name="Tc_rBnok5UGw0CU3fhbhKGysQ_3_0"/>
      <w:bookmarkStart w:id="1420" w:name="Tc_hiv2UmvqTEuS8k_QybVNXQ_2_4"/>
      <w:bookmarkStart w:id="1421" w:name="Tc_IW3LHm5S406cAgi1rI5B9g_2_2"/>
      <w:bookmarkStart w:id="1422" w:name="Tc_cAaoEx1wUEGxiExS8jBu8w_2_0"/>
      <w:bookmarkStart w:id="1423" w:name="Tc_boFTBaZo30WXoyuuG6HS2w_1_2"/>
      <w:bookmarkStart w:id="1424" w:name="_21cacd7a_426f_498a_bee3_d3f18a2d9417"/>
      <w:bookmarkEnd w:id="1415"/>
      <w:bookmarkEnd w:id="1416"/>
      <w:bookmarkEnd w:id="1417"/>
      <w:bookmarkEnd w:id="1418"/>
      <w:bookmarkEnd w:id="1419"/>
      <w:bookmarkEnd w:id="1420"/>
      <w:bookmarkEnd w:id="1421"/>
      <w:bookmarkEnd w:id="1422"/>
      <w:bookmarkEnd w:id="1423"/>
      <w:bookmarkEnd w:id="1424"/>
      <w:r>
        <w:rPr>
          <w:rFonts w:ascii="Times New Roman;Times;serif" w:hAnsi="Times New Roman;Times;serif"/>
          <w:b/>
          <w:i w:val="false"/>
          <w:caps w:val="false"/>
          <w:smallCaps w:val="false"/>
          <w:sz w:val="20"/>
        </w:rPr>
        <w:t>13.</w:t>
      </w:r>
      <w:r>
        <w:rPr>
          <w:rFonts w:ascii="Times New Roman;Times;serif" w:hAnsi="Times New Roman;Times;serif"/>
          <w:b/>
          <w:sz w:val="20"/>
        </w:rPr>
        <w:t>LEASES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occupies most of its office premises and certain mining datacenter under lease arrangements, which generally have an initial lease term between </w:t>
      </w:r>
      <w:r>
        <w:rPr>
          <w:rFonts w:ascii="Times New Roman;Times;serif" w:hAnsi="Times New Roman;Times;serif"/>
          <w:b w:val="false"/>
          <w:i w:val="false"/>
          <w:caps w:val="false"/>
          <w:smallCaps w:val="false"/>
          <w:sz w:val="20"/>
        </w:rPr>
        <w:t>one and a half years</w:t>
      </w:r>
      <w:r>
        <w:rPr>
          <w:rFonts w:ascii="Times New Roman;Times;serif" w:hAnsi="Times New Roman;Times;serif"/>
          <w:sz w:val="20"/>
        </w:rPr>
        <w:t xml:space="preserve"> to 30 years. Lease contracts are typically made for fixed periods but may have extension options. The Group accounts for lease and non-lease components separately, where the non-lease component is charged to expenses as they incur. Any extension options in these leases have not been included in the lease liabilities unless the Group is reasonably certain to exercise the extension option. In addition, periods after termination options are only included in the lease term if the lease is reasonably certain not to be terminated. The Group does not have an option to purchase these leased assets at the expiration of the lease periods.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statements of financial position show the following amounts relating to the right-of-use assets:</w:t>
      </w:r>
    </w:p>
    <w:tbl>
      <w:tblPr>
        <w:tblW w:w="3835" w:type="dxa"/>
        <w:jc w:val="left"/>
        <w:tblInd w:w="0" w:type="dxa"/>
        <w:tblCellMar>
          <w:top w:w="0" w:type="dxa"/>
          <w:left w:w="0" w:type="dxa"/>
          <w:bottom w:w="0" w:type="dxa"/>
          <w:right w:w="0" w:type="dxa"/>
        </w:tblCellMar>
      </w:tblPr>
      <w:tblGrid>
        <w:gridCol w:w="1966"/>
        <w:gridCol w:w="326"/>
        <w:gridCol w:w="676"/>
        <w:gridCol w:w="146"/>
        <w:gridCol w:w="721"/>
      </w:tblGrid>
      <w:tr>
        <w:trPr/>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48410" cy="175260"/>
                      <wp:effectExtent l="0" t="0" r="0" b="0"/>
                      <wp:wrapNone/>
                      <wp:docPr id="291" name="Frame290"/>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9260" cy="175260"/>
                      <wp:effectExtent l="0" t="0" r="0" b="0"/>
                      <wp:wrapNone/>
                      <wp:docPr id="293" name="Frame29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94" name="Frame29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57835" cy="175260"/>
                      <wp:effectExtent l="0" t="0" r="0" b="0"/>
                      <wp:wrapNone/>
                      <wp:docPr id="295" name="Frame29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0"/>
              <w:ind w:left="0" w:right="0" w:hanging="0"/>
              <w:jc w:val="center"/>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6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Right-of-use assets</w:t>
            </w:r>
          </w:p>
        </w:tc>
        <w:tc>
          <w:tcPr>
            <w:tcW w:w="326"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Land and buildings</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58,941</w:t>
            </w:r>
          </w:p>
        </w:tc>
        <w:tc>
          <w:tcPr>
            <w:tcW w:w="14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60,082</w:t>
            </w:r>
          </w:p>
        </w:tc>
      </w:tr>
      <w:tr>
        <w:trPr/>
        <w:tc>
          <w:tcPr>
            <w:tcW w:w="196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Investment properties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jc w:val="right"/>
              <w:rPr/>
            </w:pPr>
            <w:r>
              <w:rPr/>
              <w:t> </w:t>
            </w:r>
          </w:p>
        </w:tc>
        <w:tc>
          <w:tcPr>
            <w:tcW w:w="721" w:type="dxa"/>
            <w:tcBorders/>
            <w:shd w:fill="CCEEFF" w:val="clear"/>
            <w:vAlign w:val="center"/>
          </w:tcPr>
          <w:p>
            <w:pPr>
              <w:pStyle w:val="TableContents"/>
              <w:spacing w:before="0" w:after="0"/>
              <w:ind w:left="0" w:right="0" w:hanging="0"/>
              <w:jc w:val="right"/>
              <w:rPr/>
            </w:pPr>
            <w:r>
              <w:rPr/>
              <w:t>​</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Leasehold land</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5,547</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 to the right-of-use assets for the years ended December 31, 2020, 2021 and 2022 was approximately US$1.2 million, US$47.2 million and US$7.3 million, respectively. In addition, approximately US$4.8 million right-of-use asset for the years ended December 31, 2022 was acquired as a result of the acquisition of AFH (See Note 5), the balance of the underlying right-of-use asset was included in investment properties. See Note 12.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an obligation to complete the site restoration of its leased land held by AFH in Singapore in relation to the Group’s acquisition of AFH in July 2022 (See Note 5). The provision for the site restoration is updated annually.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bookmarkStart w:id="1425" w:name="Tc_o1Szpp6jnEuvYD0Cx1vNYg_8_0"/>
      <w:bookmarkStart w:id="1426" w:name="Tc_IWwZYdHTE0SgmvbfCFYv1Q_7_0"/>
      <w:bookmarkStart w:id="1427" w:name="Tc_UI9kcE-TxU-WAXKKjlhPYQ_6_2"/>
      <w:bookmarkStart w:id="1428" w:name="Tc_YhCFPWEwJkiNaI86hz_XJQ_6_0"/>
      <w:bookmarkStart w:id="1429" w:name="Tc_Isw0eDsTiUW74ByCn6z2Bw_5_0"/>
      <w:bookmarkStart w:id="1430" w:name="Tc_CmuRGtu0JEqxhFhKpC-9dQ_4_6"/>
      <w:bookmarkStart w:id="1431" w:name="Tc_-tju5zYgzkGgMpGQOq8Ipg_4_0"/>
      <w:bookmarkStart w:id="1432" w:name="Tc_XCJ3owrGUkWiajc2cMIxAA_3_0"/>
      <w:bookmarkStart w:id="1433" w:name="Tc_KlDaC-njpU-yTud9xBUoDw_2_6"/>
      <w:bookmarkStart w:id="1434" w:name="Tc_M9b7sw6CHEuCHXARSLce5w_2_4"/>
      <w:bookmarkStart w:id="1435" w:name="Tc_BeBxXWOUCUelO38ZihIBNA_2_2"/>
      <w:bookmarkStart w:id="1436" w:name="Tc_9GHjtAf5yE-OioWc2k-EGg_2_0"/>
      <w:bookmarkStart w:id="1437" w:name="Tc_epCAz-OKQkyXegSLnBKPhQ_1_2"/>
      <w:bookmarkStart w:id="1438" w:name="_c913a952_2a53_4a27_8fc8_b078bc9c0557"/>
      <w:bookmarkStart w:id="1439" w:name="Tc_rthrEGB8U0i07kNnfav4qw_5_0"/>
      <w:bookmarkStart w:id="1440" w:name="Tc_eFgmHJAEDkqCf-9967LY3w_4_0"/>
      <w:bookmarkStart w:id="1441" w:name="Tc_2E2zum-Kw0y3dXNgl-n3dQ_3_0"/>
      <w:bookmarkStart w:id="1442" w:name="Tc_0-6BTsi6Zku3j511I4Hp_g_2_4"/>
      <w:bookmarkStart w:id="1443" w:name="Tc_TNJUUpJRlkyOPm0G6w8MTw_2_2"/>
      <w:bookmarkStart w:id="1444" w:name="Tc_JTtp85nG8Um2b6TWzfOw7Q_2_0"/>
      <w:bookmarkStart w:id="1445" w:name="Tc_RkqoeDzqk0W5rmeWYtsjnQ_1_2"/>
      <w:bookmarkStart w:id="1446" w:name="_ed7ce48a_1a25_4d4a_9129_31c76d1f34b0"/>
      <w:bookmarkStart w:id="1447" w:name="Tc_Q3E2FfsVb0CqWOF41c_QwQ_5_0"/>
      <w:bookmarkStart w:id="1448" w:name="Tc_uND1X0SLoEqVMyOB-WruBQ_4_2"/>
      <w:bookmarkStart w:id="1449" w:name="Tc_JRe5k1-DbEOdbvlf3NEidw_4_0"/>
      <w:bookmarkStart w:id="1450" w:name="Tc_-G5vnGAiE0mBuZFshlVMEQ_3_0"/>
      <w:bookmarkStart w:id="1451" w:name="Tc_URgnhOk-MkGhyaY1kpovNQ_2_2"/>
      <w:bookmarkStart w:id="1452" w:name="Tc_ijcN7yPYgECASxZiVQRpXg_2_0"/>
      <w:bookmarkStart w:id="1453" w:name="Tc_WfVPGNO1x0CC9ngIT_WbHQ_1_0"/>
      <w:bookmarkStart w:id="1454" w:name="_2f30981f_d059_4031_b579_0d4a5361d209"/>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sz w:val="20"/>
        </w:rPr>
        <w:t>The following table represents the movement of the restoration provision:</w:t>
      </w:r>
    </w:p>
    <w:tbl>
      <w:tblPr>
        <w:tblW w:w="4708" w:type="dxa"/>
        <w:jc w:val="left"/>
        <w:tblInd w:w="0" w:type="dxa"/>
        <w:tblCellMar>
          <w:top w:w="0" w:type="dxa"/>
          <w:left w:w="0" w:type="dxa"/>
          <w:bottom w:w="0" w:type="dxa"/>
          <w:right w:w="0" w:type="dxa"/>
        </w:tblCellMar>
      </w:tblPr>
      <w:tblGrid>
        <w:gridCol w:w="3706"/>
        <w:gridCol w:w="326"/>
        <w:gridCol w:w="676"/>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53310" cy="175260"/>
                      <wp:effectExtent l="0" t="0" r="0" b="0"/>
                      <wp:wrapNone/>
                      <wp:docPr id="296" name="Frame295"/>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9260" cy="175260"/>
                      <wp:effectExtent l="0" t="0" r="0" b="0"/>
                      <wp:wrapNone/>
                      <wp:docPr id="298" name="Frame29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06" w:type="dxa"/>
            <w:tcBorders/>
            <w:shd w:fill="auto" w:val="clear"/>
            <w:vAlign w:val="center"/>
          </w:tcPr>
          <w:p>
            <w:pPr>
              <w:pStyle w:val="TableContents"/>
              <w:pBdr/>
              <w:spacing w:before="0" w:after="1"/>
              <w:ind w:left="0" w:right="0" w:hanging="0"/>
              <w:rPr>
                <w:rFonts w:ascii="Times New Roman;Times;serif" w:hAnsi="Times New Roman;Times;serif"/>
                <w:b/>
                <w:color w:val="231F20"/>
                <w:sz w:val="16"/>
              </w:rPr>
            </w:pPr>
            <w:r>
              <w:rPr>
                <w:rFonts w:ascii="Times New Roman;Times;serif" w:hAnsi="Times New Roman;Times;serif"/>
                <w:b/>
                <w:color w:val="231F20"/>
                <w:sz w:val="16"/>
              </w:rPr>
              <w:t>In thousands of USD</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676" w:type="dxa"/>
            <w:tcBorders/>
            <w:shd w:fill="auto" w:val="clear"/>
            <w:vAlign w:val="center"/>
          </w:tcPr>
          <w:p>
            <w:pPr>
              <w:pStyle w:val="TableContents"/>
              <w:spacing w:before="0" w:after="1"/>
              <w:ind w:left="0" w:right="0" w:hanging="0"/>
              <w:rPr>
                <w:color w:val="231F20"/>
              </w:rPr>
            </w:pPr>
            <w:r>
              <w:rPr>
                <w:color w:val="231F20"/>
              </w:rPr>
              <w:t>    </w:t>
            </w:r>
          </w:p>
        </w:tc>
      </w:tr>
      <w:tr>
        <w:trPr/>
        <w:tc>
          <w:tcPr>
            <w:tcW w:w="370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Restoration provision at December 31, 2021</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r>
      <w:tr>
        <w:trPr/>
        <w:tc>
          <w:tcPr>
            <w:tcW w:w="370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Recognition through asset acquisition</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r>
      <w:tr>
        <w:trPr/>
        <w:tc>
          <w:tcPr>
            <w:tcW w:w="370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Change in provision</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70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Restoration provision at December 31, 2022</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1,343</w:t>
            </w:r>
          </w:p>
        </w:tc>
      </w:tr>
    </w:tbl>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statements of financial position show the following amounts relating to the lease liabilities:</w:t>
      </w:r>
    </w:p>
    <w:tbl>
      <w:tblPr>
        <w:tblW w:w="5410" w:type="dxa"/>
        <w:jc w:val="left"/>
        <w:tblInd w:w="0" w:type="dxa"/>
        <w:tblCellMar>
          <w:top w:w="0" w:type="dxa"/>
          <w:left w:w="0" w:type="dxa"/>
          <w:bottom w:w="0" w:type="dxa"/>
          <w:right w:w="0" w:type="dxa"/>
        </w:tblCellMar>
      </w:tblPr>
      <w:tblGrid>
        <w:gridCol w:w="3481"/>
        <w:gridCol w:w="326"/>
        <w:gridCol w:w="676"/>
        <w:gridCol w:w="146"/>
        <w:gridCol w:w="781"/>
      </w:tblGrid>
      <w:tr>
        <w:trPr/>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210435" cy="175260"/>
                      <wp:effectExtent l="0" t="0" r="0" b="0"/>
                      <wp:wrapNone/>
                      <wp:docPr id="299" name="Frame298"/>
                      <a:graphic xmlns:a="http://schemas.openxmlformats.org/drawingml/2006/main">
                        <a:graphicData uri="http://schemas.microsoft.com/office/word/2010/wordprocessingShape">
                          <wps:wsp>
                            <wps:cNvSpPr txBox="1"/>
                            <wps:spPr>
                              <a:xfrm>
                                <a:off x="0" y="0"/>
                                <a:ext cx="2210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1" name="Frame30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2710" cy="175260"/>
                      <wp:effectExtent l="0" t="0" r="0" b="0"/>
                      <wp:wrapNone/>
                      <wp:docPr id="302" name="Frame30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5935" cy="175260"/>
                      <wp:effectExtent l="0" t="0" r="0" b="0"/>
                      <wp:wrapNone/>
                      <wp:docPr id="303" name="Frame30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6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3481"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 mature within 12 months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14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4,973</w:t>
            </w:r>
          </w:p>
        </w:tc>
      </w:tr>
      <w:tr>
        <w:trPr/>
        <w:tc>
          <w:tcPr>
            <w:tcW w:w="34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 mature over 12 months</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59,681</w:t>
            </w:r>
          </w:p>
        </w:tc>
        <w:tc>
          <w:tcPr>
            <w:tcW w:w="14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65,452</w:t>
            </w:r>
          </w:p>
        </w:tc>
      </w:tr>
      <w:tr>
        <w:trPr/>
        <w:tc>
          <w:tcPr>
            <w:tcW w:w="348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lease liabilities*</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62,968</w:t>
            </w:r>
          </w:p>
        </w:tc>
        <w:tc>
          <w:tcPr>
            <w:tcW w:w="14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70,425</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Lease liabilities in amount of approximately US$4.7 million was related to the leasehold land included in the investment properties. See Note 12.</w:t>
      </w:r>
    </w:p>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Amounts recognized in profit or loss:</w:t>
      </w:r>
    </w:p>
    <w:p>
      <w:pPr>
        <w:pStyle w:val="TextBody"/>
        <w:spacing w:before="0" w:after="0"/>
        <w:ind w:left="0" w:right="0" w:hanging="0"/>
        <w:rPr/>
      </w:pPr>
      <w:r>
        <w:rPr/>
        <w:t>​</w:t>
      </w:r>
    </w:p>
    <w:tbl>
      <w:tblPr>
        <w:tblW w:w="6150" w:type="dxa"/>
        <w:jc w:val="left"/>
        <w:tblInd w:w="0" w:type="dxa"/>
        <w:tblCellMar>
          <w:top w:w="0" w:type="dxa"/>
          <w:left w:w="0" w:type="dxa"/>
          <w:bottom w:w="0" w:type="dxa"/>
          <w:right w:w="0" w:type="dxa"/>
        </w:tblCellMar>
      </w:tblPr>
      <w:tblGrid>
        <w:gridCol w:w="3751"/>
        <w:gridCol w:w="326"/>
        <w:gridCol w:w="571"/>
        <w:gridCol w:w="109"/>
        <w:gridCol w:w="571"/>
        <w:gridCol w:w="146"/>
        <w:gridCol w:w="676"/>
      </w:tblGrid>
      <w:tr>
        <w:trPr/>
        <w:tc>
          <w:tcPr>
            <w:tcW w:w="3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381885" cy="175260"/>
                      <wp:effectExtent l="0" t="0" r="0" b="0"/>
                      <wp:wrapNone/>
                      <wp:docPr id="304" name="Frame303"/>
                      <a:graphic xmlns:a="http://schemas.openxmlformats.org/drawingml/2006/main">
                        <a:graphicData uri="http://schemas.microsoft.com/office/word/2010/wordprocessingShape">
                          <wps:wsp>
                            <wps:cNvSpPr txBox="1"/>
                            <wps:spPr>
                              <a:xfrm>
                                <a:off x="0" y="0"/>
                                <a:ext cx="2381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62585" cy="175260"/>
                      <wp:effectExtent l="0" t="0" r="0" b="0"/>
                      <wp:wrapNone/>
                      <wp:docPr id="306" name="Frame30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2585" cy="175260"/>
                      <wp:effectExtent l="0" t="0" r="0" b="0"/>
                      <wp:wrapNone/>
                      <wp:docPr id="308" name="Frame30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92710" cy="175260"/>
                      <wp:effectExtent l="0" t="0" r="0" b="0"/>
                      <wp:wrapNone/>
                      <wp:docPr id="309" name="Frame30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29260" cy="175260"/>
                      <wp:effectExtent l="0" t="0" r="0" b="0"/>
                      <wp:wrapNone/>
                      <wp:docPr id="310" name="Frame30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07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expense of right-of-use assets*</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3,983</w:t>
            </w:r>
          </w:p>
        </w:tc>
        <w:tc>
          <w:tcPr>
            <w:tcW w:w="109"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14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5,371</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on lease modification</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14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109"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14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Expenses relating to variable payment leases</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14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Expenses relating to short-term leases</w:t>
            </w:r>
          </w:p>
        </w:tc>
        <w:tc>
          <w:tcPr>
            <w:tcW w:w="326" w:type="dxa"/>
            <w:tcBorders/>
            <w:shd w:fill="CCEEFF" w:val="cle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shd w:fill="CCEEFF" w:val="clear"/>
            <w:vAlign w:val="center"/>
          </w:tcPr>
          <w:p>
            <w:pPr>
              <w:pStyle w:val="TableContents"/>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14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5,166</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6,609</w:t>
            </w:r>
          </w:p>
        </w:tc>
        <w:tc>
          <w:tcPr>
            <w:tcW w:w="14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8,962</w:t>
            </w:r>
          </w:p>
        </w:tc>
      </w:tr>
    </w:tbl>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Depreciation expense of right-of-use asset of approximately $0.2 million and interest expense of approximately $0.1 million was related to the leasehold land included in the investment properties. See Note 12.</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total cash outflow for leases, including the capital element of lease rentals paid and interests paid on leases for the years ended December 31, 2020, 2021 and 2022 was approximately US$5.4 million, US$5.4 million and US$6.3 million,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455" w:name="Tc_F8_DCAVSB06hBWct58U72A_4_0"/>
      <w:bookmarkStart w:id="1456" w:name="Tc_bMadHwSlE0-EqbIL9ms-vw_3_0"/>
      <w:bookmarkStart w:id="1457" w:name="Tc_hawwW2r_3UyLrGvwwvtigw_2_4"/>
      <w:bookmarkStart w:id="1458" w:name="Tc_9fSgsPIfwUegPr5r-ngHjg_2_2"/>
      <w:bookmarkStart w:id="1459" w:name="Tc_MwJkVOAABkKgFkGDSszfLA_2_0"/>
      <w:bookmarkStart w:id="1460" w:name="Tc_KDlIbqaWpEOo2ZyOsi4T5g_1_2"/>
      <w:bookmarkEnd w:id="1455"/>
      <w:bookmarkEnd w:id="1456"/>
      <w:bookmarkEnd w:id="1457"/>
      <w:bookmarkEnd w:id="1458"/>
      <w:bookmarkEnd w:id="1459"/>
      <w:bookmarkEnd w:id="1460"/>
      <w:r>
        <w:rPr>
          <w:rFonts w:ascii="Times New Roman;Times;serif" w:hAnsi="Times New Roman;Times;serif"/>
          <w:b/>
          <w:i w:val="false"/>
          <w:caps w:val="false"/>
          <w:smallCaps w:val="false"/>
          <w:sz w:val="20"/>
        </w:rPr>
        <w:t>14.</w:t>
      </w:r>
      <w:r>
        <w:rPr>
          <w:rFonts w:ascii="Times New Roman;Times;serif" w:hAnsi="Times New Roman;Times;serif"/>
          <w:b/>
          <w:sz w:val="20"/>
        </w:rPr>
        <w:t>BORROWINGS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Borrowings consist of the following:</w:t>
      </w:r>
    </w:p>
    <w:p>
      <w:pPr>
        <w:pStyle w:val="TextBody"/>
        <w:spacing w:before="0" w:after="0"/>
        <w:ind w:left="0" w:right="0" w:hanging="0"/>
        <w:rPr/>
      </w:pPr>
      <w:r>
        <w:rPr/>
        <w:t>​</w:t>
      </w:r>
    </w:p>
    <w:tbl>
      <w:tblPr>
        <w:tblW w:w="3775" w:type="dxa"/>
        <w:jc w:val="left"/>
        <w:tblInd w:w="0" w:type="dxa"/>
        <w:tblCellMar>
          <w:top w:w="0" w:type="dxa"/>
          <w:left w:w="0" w:type="dxa"/>
          <w:bottom w:w="0" w:type="dxa"/>
          <w:right w:w="0" w:type="dxa"/>
        </w:tblCellMar>
      </w:tblPr>
      <w:tblGrid>
        <w:gridCol w:w="1666"/>
        <w:gridCol w:w="326"/>
        <w:gridCol w:w="676"/>
        <w:gridCol w:w="326"/>
        <w:gridCol w:w="78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057910" cy="175260"/>
                      <wp:effectExtent l="0" t="0" r="0" b="0"/>
                      <wp:wrapNone/>
                      <wp:docPr id="311" name="Frame310"/>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29260" cy="175260"/>
                      <wp:effectExtent l="0" t="0" r="0" b="0"/>
                      <wp:wrapNone/>
                      <wp:docPr id="313" name="Frame31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5935" cy="175260"/>
                      <wp:effectExtent l="0" t="0" r="0" b="0"/>
                      <wp:wrapNone/>
                      <wp:docPr id="315" name="Frame31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166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66"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Convertible debt</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29,460</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29,805</w:t>
            </w:r>
          </w:p>
        </w:tc>
      </w:tr>
      <w:tr>
        <w:trPr/>
        <w:tc>
          <w:tcPr>
            <w:tcW w:w="166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29,460</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29,805</w:t>
            </w:r>
          </w:p>
        </w:tc>
      </w:tr>
    </w:tbl>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24"/>
        <w:gridCol w:w="282"/>
        <w:gridCol w:w="9799"/>
      </w:tblGrid>
      <w:tr>
        <w:trPr/>
        <w:tc>
          <w:tcPr>
            <w:tcW w:w="12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979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Group issued a US$30 million promissory note on July 23, 2021. The promissory note is non-secured, bears an annual interest rate of 8%, matures on July 23, 2023 and provides the holder an option to convert all or any portion of the note into the Group’s ordinary shares at US$0.0632 per share at any time from the issuance of the note to the second anniversary of the date of issuance. Approximately US$683,000 was recognized as an equity component. The unamortized discount as of December 31, 2021 and 2022 was approximately US$524,000 and US$195,000.</w:t>
            </w:r>
          </w:p>
        </w:tc>
      </w:tr>
    </w:tbl>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1461" w:name="Tc_GJupNBs1t0e6z-QjLhqLbg_9_0"/>
      <w:bookmarkStart w:id="1462" w:name="Tc_LM7A3ErrgEOFvPrlX0DQ9g_8_0"/>
      <w:bookmarkStart w:id="1463" w:name="Tc_eCIYwmoNmUaQAB4xgubUQg_7_2"/>
      <w:bookmarkStart w:id="1464" w:name="Tc_yBS35CcoNkSrcQ8GBmqF0A_7_0"/>
      <w:bookmarkStart w:id="1465" w:name="Tc_jcngPMnP40i4TSz5fyheTw_6_2"/>
      <w:bookmarkStart w:id="1466" w:name="Tc_MueZcLrKe0GKU4vnzHTdBg_6_0"/>
      <w:bookmarkStart w:id="1467" w:name="Tc_ZouPpLptzkSQAXdkbA50KA_5_0"/>
      <w:bookmarkStart w:id="1468" w:name="Tc_aJlWd6zvl0qTsXuVlV9tww_4_0"/>
      <w:bookmarkStart w:id="1469" w:name="Tc_-ItnGtxAxkSkvebB1lLnhg_3_0"/>
      <w:bookmarkStart w:id="1470" w:name="Tc_t8HqSY8OgUGrhjIsiqIGyw_2_4"/>
      <w:bookmarkStart w:id="1471" w:name="Tc_JhBB_P6A-EqGQ0w7HXhDoA_2_2"/>
      <w:bookmarkStart w:id="1472" w:name="Tc_0PuECP_620CazQQxjx3ENg_2_0"/>
      <w:bookmarkStart w:id="1473" w:name="Tc_R5tOPle1pkaDjDp_-9wFDA_1_2"/>
      <w:bookmarkStart w:id="1474" w:name="_a00fa7d7_40cc_4a67_80d4_06555bcfbf6e"/>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r>
        <w:rPr>
          <w:rFonts w:ascii="Times New Roman;Times;serif" w:hAnsi="Times New Roman;Times;serif"/>
          <w:b/>
          <w:i w:val="false"/>
          <w:caps w:val="false"/>
          <w:smallCaps w:val="false"/>
          <w:sz w:val="20"/>
        </w:rPr>
        <w:t>15.</w:t>
      </w:r>
      <w:r>
        <w:rPr>
          <w:rFonts w:ascii="Times New Roman;Times;serif" w:hAnsi="Times New Roman;Times;serif"/>
          <w:b/>
          <w:sz w:val="20"/>
        </w:rPr>
        <w:t>OTHER PAYABLES AND ACCRUALS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payables and accruals consist of the following:</w:t>
      </w:r>
    </w:p>
    <w:tbl>
      <w:tblPr>
        <w:tblW w:w="5500" w:type="dxa"/>
        <w:jc w:val="left"/>
        <w:tblInd w:w="0" w:type="dxa"/>
        <w:tblCellMar>
          <w:top w:w="0" w:type="dxa"/>
          <w:left w:w="0" w:type="dxa"/>
          <w:bottom w:w="0" w:type="dxa"/>
          <w:right w:w="0" w:type="dxa"/>
        </w:tblCellMar>
      </w:tblPr>
      <w:tblGrid>
        <w:gridCol w:w="3391"/>
        <w:gridCol w:w="326"/>
        <w:gridCol w:w="676"/>
        <w:gridCol w:w="326"/>
        <w:gridCol w:w="781"/>
      </w:tblGrid>
      <w:tr>
        <w:trPr/>
        <w:tc>
          <w:tcPr>
            <w:tcW w:w="3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53285" cy="175260"/>
                      <wp:effectExtent l="0" t="0" r="0" b="0"/>
                      <wp:wrapNone/>
                      <wp:docPr id="316" name="Frame315"/>
                      <a:graphic xmlns:a="http://schemas.openxmlformats.org/drawingml/2006/main">
                        <a:graphicData uri="http://schemas.microsoft.com/office/word/2010/wordprocessingShape">
                          <wps:wsp>
                            <wps:cNvSpPr txBox="1"/>
                            <wps:spPr>
                              <a:xfrm>
                                <a:off x="0" y="0"/>
                                <a:ext cx="2153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29260" cy="175260"/>
                      <wp:effectExtent l="0" t="0" r="0" b="0"/>
                      <wp:wrapNone/>
                      <wp:docPr id="318" name="Frame31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5935" cy="175260"/>
                      <wp:effectExtent l="0" t="0" r="0" b="0"/>
                      <wp:wrapNone/>
                      <wp:docPr id="320" name="Frame31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339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Payables for surtaxes</w:t>
            </w:r>
          </w:p>
        </w:tc>
        <w:tc>
          <w:tcPr>
            <w:tcW w:w="326" w:type="dxa"/>
            <w:tcBorders/>
            <w:shd w:fill="CCEEFF" w:val="clear"/>
            <w:vAlign w:val="center"/>
          </w:tcPr>
          <w:p>
            <w:pPr>
              <w:pStyle w:val="TableContents"/>
              <w:spacing w:before="0" w:after="1"/>
              <w:ind w:left="0" w:right="0" w:hanging="0"/>
              <w:jc w:val="center"/>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8,184</w:t>
            </w:r>
          </w:p>
        </w:tc>
        <w:tc>
          <w:tcPr>
            <w:tcW w:w="326"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8,928</w:t>
            </w:r>
          </w:p>
        </w:tc>
      </w:tr>
      <w:tr>
        <w:trPr/>
        <w:tc>
          <w:tcPr>
            <w:tcW w:w="33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operating expenses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2,108</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5,539</w:t>
            </w:r>
          </w:p>
        </w:tc>
      </w:tr>
      <w:tr>
        <w:trPr/>
        <w:tc>
          <w:tcPr>
            <w:tcW w:w="33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Payables for staff-related costs</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2,182</w:t>
            </w:r>
          </w:p>
        </w:tc>
      </w:tr>
      <w:tr>
        <w:trPr/>
        <w:tc>
          <w:tcPr>
            <w:tcW w:w="33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Deposit from hosting customers</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2,911</w:t>
            </w:r>
          </w:p>
        </w:tc>
      </w:tr>
      <w:tr>
        <w:trPr/>
        <w:tc>
          <w:tcPr>
            <w:tcW w:w="33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Restoration provision for leasehold land</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r>
      <w:tr>
        <w:trPr/>
        <w:tc>
          <w:tcPr>
            <w:tcW w:w="33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339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17,258</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22,176</w:t>
            </w:r>
          </w:p>
        </w:tc>
      </w:tr>
    </w:tbl>
    <w:p>
      <w:pPr>
        <w:pStyle w:val="TextBody"/>
        <w:spacing w:before="0" w:after="24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All other payables and accruals are expected to be settled within one year or are repayable on demand.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475" w:name="Tc_WbLjw0GjnUiTP2JzINmiZw_29_0"/>
      <w:bookmarkStart w:id="1476" w:name="Tc_Owbk_X-quUewaGXljY_nKA_28_0"/>
      <w:bookmarkStart w:id="1477" w:name="Tc_hqpKXcJcWk-OTJfJs9or0A_27_0"/>
      <w:bookmarkStart w:id="1478" w:name="Tc_Yc9du29utkOYFWv04yHaJA_26_0"/>
      <w:bookmarkStart w:id="1479" w:name="Tc_jvzeWRWKDkCOnWurscyJ7g_25_0"/>
      <w:bookmarkStart w:id="1480" w:name="Tc_opka4OB3fUqHSwTkLoEkAQ_24_6"/>
      <w:bookmarkStart w:id="1481" w:name="Tc_Fe8T1KqasEO-ZXqb0AMJow_24_2"/>
      <w:bookmarkStart w:id="1482" w:name="Tc_9sIyuu05tEOr_Kuo7errgw_24_0"/>
      <w:bookmarkStart w:id="1483" w:name="Tc_q7oECrDm_UaSfkx9Rk7cXw_23_0"/>
      <w:bookmarkStart w:id="1484" w:name="Tc_YGTJp4pM1UGLuM_0o0Dfzg_22_2"/>
      <w:bookmarkStart w:id="1485" w:name="Tc_znxKfHAxgUacrrET8xGaMQ_22_0"/>
      <w:bookmarkStart w:id="1486" w:name="Tc_UfAavqysVEuIz7XBez_WvA_21_0"/>
      <w:bookmarkStart w:id="1487" w:name="Tc_MLToyuKEC0-f3HEQxxWeAg_20_0"/>
      <w:bookmarkStart w:id="1488" w:name="Tc_0pKwn3t3A0WYbB9xlx7H9Q_19_0"/>
      <w:bookmarkStart w:id="1489" w:name="Tc_GKQmv3fue0yyD6cITZIg-A_18_0"/>
      <w:bookmarkStart w:id="1490" w:name="Tc_ejQ8UYDyF0KEr5m-D1Vq0Q_17_0"/>
      <w:bookmarkStart w:id="1491" w:name="Tc_k431-2NVV0WAGOSuVHNJTA_16_0"/>
      <w:bookmarkStart w:id="1492" w:name="Tc_4E4xlsFKwkOzzMc27S05Eg_15_0"/>
      <w:bookmarkStart w:id="1493" w:name="Tc_XtBWFcsNYE6OY5pR4pLG0A_14_0"/>
      <w:bookmarkStart w:id="1494" w:name="Tc_aGxaQpB970OXoUiAiFKC3A_13_0"/>
      <w:bookmarkStart w:id="1495" w:name="Tc_4j7tDdsOgUaslvVE9V3VwA_12_4"/>
      <w:bookmarkStart w:id="1496" w:name="Tc_enptR4sdX0urtnEFMJcdSg_12_2"/>
      <w:bookmarkStart w:id="1497" w:name="Tc_qfyptUuSP0GZJ6T0K1SGsQ_12_0"/>
      <w:bookmarkStart w:id="1498" w:name="Tc_IVmAGZH4nkmEiURHCH5nVQ_11_0"/>
      <w:bookmarkStart w:id="1499" w:name="Tc_Uy6AZy6gVU6F8qdO_S-YDg_10_0"/>
      <w:bookmarkStart w:id="1500" w:name="Tc_9kTfuP4Kw0qBHL19kvaW5Q_9_0"/>
      <w:bookmarkStart w:id="1501" w:name="Tc_YRZ7YiL970SRTKMrXKp7QQ_8_0"/>
      <w:bookmarkStart w:id="1502" w:name="Tc_rEcDi_uVO0upwsBAs0A_Bg_7_0"/>
      <w:bookmarkStart w:id="1503" w:name="Tc_GbVkcBW1-EmM97hePbMmkQ_6_2"/>
      <w:bookmarkStart w:id="1504" w:name="Tc_gc3T-tLHj0mQJaDEG17PZQ_6_0"/>
      <w:bookmarkStart w:id="1505" w:name="Tc_g06TVpRXq0ukTLN8_oLCLg_5_0"/>
      <w:bookmarkStart w:id="1506" w:name="Tc_Br_ALvEkkEyrZUu0tzYIcg_4_0"/>
      <w:bookmarkStart w:id="1507" w:name="Tc_5yjro7elkE-7j3ATQXV3zQ_3_2"/>
      <w:bookmarkStart w:id="1508" w:name="Tc_CnbYY4ovE0C1rJV56U4Y8Q_3_0"/>
      <w:bookmarkStart w:id="1509" w:name="Tc_H15e_QVSjkujMRRIMt_TvQ_2_6"/>
      <w:bookmarkStart w:id="1510" w:name="Tc_09IRx9bHHkmnZhRtpCLi-g_2_4"/>
      <w:bookmarkStart w:id="1511" w:name="Tc_WBKnmLFsuUKTZlEYwn1OvA_2_2"/>
      <w:bookmarkStart w:id="1512" w:name="Tc_xoD58RMBhUaRYdJ4kaE03g_1_2"/>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r>
        <w:rPr>
          <w:rFonts w:ascii="Times New Roman;Times;serif" w:hAnsi="Times New Roman;Times;serif"/>
          <w:b/>
          <w:i w:val="false"/>
          <w:caps w:val="false"/>
          <w:smallCaps w:val="false"/>
          <w:sz w:val="20"/>
        </w:rPr>
        <w:t>16.</w:t>
      </w:r>
      <w:r>
        <w:rPr>
          <w:rFonts w:ascii="Times New Roman;Times;serif" w:hAnsi="Times New Roman;Times;serif"/>
          <w:b/>
          <w:sz w:val="20"/>
        </w:rPr>
        <w:t>EXPENSES BY NATURE AND OTHER INCOME AND EXPENSES ITEMS</w:t>
      </w:r>
    </w:p>
    <w:tbl>
      <w:tblPr>
        <w:tblW w:w="2057" w:type="dxa"/>
        <w:jc w:val="left"/>
        <w:tblInd w:w="0" w:type="dxa"/>
        <w:tblCellMar>
          <w:top w:w="0" w:type="dxa"/>
          <w:left w:w="0" w:type="dxa"/>
          <w:bottom w:w="0" w:type="dxa"/>
          <w:right w:w="0" w:type="dxa"/>
        </w:tblCellMar>
      </w:tblPr>
      <w:tblGrid>
        <w:gridCol w:w="331"/>
        <w:gridCol w:w="1726"/>
      </w:tblGrid>
      <w:tr>
        <w:trPr/>
        <w:tc>
          <w:tcPr>
            <w:tcW w:w="331"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(a)</w:t>
            </w:r>
          </w:p>
        </w:tc>
        <w:tc>
          <w:tcPr>
            <w:tcW w:w="1726"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Expenses by nature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933"/>
        <w:gridCol w:w="326"/>
        <w:gridCol w:w="843"/>
        <w:gridCol w:w="109"/>
        <w:gridCol w:w="781"/>
        <w:gridCol w:w="326"/>
        <w:gridCol w:w="887"/>
      </w:tblGrid>
      <w:tr>
        <w:trPr/>
        <w:tc>
          <w:tcPr>
            <w:tcW w:w="6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402455" cy="175260"/>
                      <wp:effectExtent l="0" t="0" r="0" b="0"/>
                      <wp:wrapNone/>
                      <wp:docPr id="321" name="Frame320"/>
                      <a:graphic xmlns:a="http://schemas.openxmlformats.org/drawingml/2006/main">
                        <a:graphicData uri="http://schemas.microsoft.com/office/word/2010/wordprocessingShape">
                          <wps:wsp>
                            <wps:cNvSpPr txBox="1"/>
                            <wps:spPr>
                              <a:xfrm>
                                <a:off x="0" y="0"/>
                                <a:ext cx="4402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35305" cy="175260"/>
                      <wp:effectExtent l="0" t="0" r="0" b="0"/>
                      <wp:wrapNone/>
                      <wp:docPr id="323" name="Frame322"/>
                      <a:graphic xmlns:a="http://schemas.openxmlformats.org/drawingml/2006/main">
                        <a:graphicData uri="http://schemas.microsoft.com/office/word/2010/wordprocessingShape">
                          <wps:wsp>
                            <wps:cNvSpPr txBox="1"/>
                            <wps:spPr>
                              <a:xfrm>
                                <a:off x="0" y="0"/>
                                <a:ext cx="535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5" name="Frame32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3245" cy="175260"/>
                      <wp:effectExtent l="0" t="0" r="0" b="0"/>
                      <wp:wrapNone/>
                      <wp:docPr id="327" name="Frame326"/>
                      <a:graphic xmlns:a="http://schemas.openxmlformats.org/drawingml/2006/main">
                        <a:graphicData uri="http://schemas.microsoft.com/office/word/2010/wordprocessingShape">
                          <wps:wsp>
                            <wps:cNvSpPr txBox="1"/>
                            <wps:spPr>
                              <a:xfrm>
                                <a:off x="0" y="0"/>
                                <a:ext cx="563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93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94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Years ended December 31, </w:t>
            </w:r>
          </w:p>
        </w:tc>
      </w:tr>
      <w:tr>
        <w:trPr/>
        <w:tc>
          <w:tcPr>
            <w:tcW w:w="693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88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w:t>
            </w:r>
          </w:p>
        </w:tc>
        <w:tc>
          <w:tcPr>
            <w:tcW w:w="84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(Restated)</w:t>
            </w:r>
          </w:p>
        </w:tc>
        <w:tc>
          <w:tcPr>
            <w:tcW w:w="109"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Staff cost</w:t>
            </w:r>
          </w:p>
        </w:tc>
        <w:tc>
          <w:tcPr>
            <w:tcW w:w="326" w:type="dxa"/>
            <w:tcBorders/>
            <w:shd w:fill="CCEEFF" w:val="clear"/>
            <w:vAlign w:val="center"/>
          </w:tcPr>
          <w:p>
            <w:pPr>
              <w:pStyle w:val="TableContents"/>
              <w:spacing w:before="0" w:after="1"/>
              <w:ind w:left="0" w:right="0" w:hanging="0"/>
              <w:jc w:val="center"/>
              <w:rPr/>
            </w:pPr>
            <w:r>
              <w:rPr/>
              <w:t>​</w:t>
            </w:r>
          </w:p>
        </w:tc>
        <w:tc>
          <w:tcPr>
            <w:tcW w:w="843" w:type="dxa"/>
            <w:tcBorders/>
            <w:shd w:fill="CCEEFF" w:val="clear"/>
            <w:vAlign w:val="center"/>
          </w:tcPr>
          <w:p>
            <w:pPr>
              <w:pStyle w:val="TableContents"/>
              <w:spacing w:before="0" w:after="1"/>
              <w:ind w:left="0" w:right="0" w:hanging="0"/>
              <w:jc w:val="center"/>
              <w:rPr/>
            </w:pPr>
            <w:r>
              <w:rPr/>
              <w:t>  </w:t>
            </w:r>
          </w:p>
        </w:tc>
        <w:tc>
          <w:tcPr>
            <w:tcW w:w="109"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887" w:type="dxa"/>
            <w:tcBorders/>
            <w:shd w:fill="CCEEFF" w:val="clear"/>
            <w:vAlign w:val="center"/>
          </w:tcPr>
          <w:p>
            <w:pPr>
              <w:pStyle w:val="TableContents"/>
              <w:spacing w:before="0" w:after="1"/>
              <w:ind w:left="0" w:right="0" w:hanging="0"/>
              <w:jc w:val="center"/>
              <w:rPr/>
            </w:pPr>
            <w:r>
              <w:rPr/>
              <w:t>  </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salaries, wages and other benefits</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33,041</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37,730</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50,132</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88,355</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90,648</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pPr>
            <w:r>
              <w:rPr/>
              <w:t>  </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intangible assets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pPr>
            <w:r>
              <w:rPr/>
              <w:t>  </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mining machines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98,136</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43,857</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29,281</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property, plant and equipment</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9,807</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14,416</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30,438</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investment properties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1,237</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right-of-use assets</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3,983</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5,371</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Electricity cost in operating mining machines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72,078</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58,447</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139,469</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Cost of mining machines sold</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17,537</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5,978</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Consulting service fee</w:t>
            </w:r>
          </w:p>
        </w:tc>
        <w:tc>
          <w:tcPr>
            <w:tcW w:w="326" w:type="dxa"/>
            <w:tcBorders/>
            <w:shd w:fill="CCEEFF" w:val="clear"/>
            <w:vAlign w:val="center"/>
          </w:tcPr>
          <w:p>
            <w:pPr>
              <w:pStyle w:val="TableContents"/>
              <w:spacing w:before="0" w:after="1"/>
              <w:ind w:left="0" w:right="0" w:hanging="0"/>
              <w:rPr/>
            </w:pPr>
            <w:r>
              <w:rPr/>
              <w:t> </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8,787</w:t>
            </w:r>
          </w:p>
        </w:tc>
        <w:tc>
          <w:tcPr>
            <w:tcW w:w="326"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6,797</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Tax and surcharge</w:t>
            </w:r>
          </w:p>
        </w:tc>
        <w:tc>
          <w:tcPr>
            <w:tcW w:w="326" w:type="dxa"/>
            <w:tcBorders/>
            <w:shd w:fill="auto" w:val="clear"/>
            <w:vAlign w:val="center"/>
          </w:tcPr>
          <w:p>
            <w:pPr>
              <w:pStyle w:val="TableContents"/>
              <w:spacing w:before="0" w:after="1"/>
              <w:ind w:left="0" w:right="0" w:hanging="0"/>
              <w:rPr/>
            </w:pPr>
            <w:r>
              <w:rPr/>
              <w:t> </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3,085</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auto" w:val="clear"/>
            <w:vAlign w:val="center"/>
          </w:tcPr>
          <w:p>
            <w:pPr>
              <w:pStyle w:val="TableContents"/>
              <w:spacing w:before="0" w:after="1"/>
              <w:ind w:left="0" w:right="0" w:hanging="0"/>
              <w:rPr/>
            </w:pPr>
            <w:r>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Advertising expenses</w:t>
            </w:r>
          </w:p>
        </w:tc>
        <w:tc>
          <w:tcPr>
            <w:tcW w:w="326" w:type="dxa"/>
            <w:tcBorders/>
            <w:shd w:fill="CCEEFF" w:val="clear"/>
            <w:vAlign w:val="center"/>
          </w:tcPr>
          <w:p>
            <w:pPr>
              <w:pStyle w:val="TableContents"/>
              <w:spacing w:before="0" w:after="1"/>
              <w:ind w:left="0" w:right="0" w:hanging="0"/>
              <w:rPr/>
            </w:pPr>
            <w:r>
              <w:rPr/>
              <w:t> </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2,189</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Office expenses</w:t>
            </w:r>
          </w:p>
        </w:tc>
        <w:tc>
          <w:tcPr>
            <w:tcW w:w="326" w:type="dxa"/>
            <w:tcBorders/>
            <w:shd w:fill="auto" w:val="clear"/>
            <w:vAlign w:val="center"/>
          </w:tcPr>
          <w:p>
            <w:pPr>
              <w:pStyle w:val="TableContents"/>
              <w:spacing w:before="0" w:after="1"/>
              <w:ind w:left="0" w:right="0" w:hanging="0"/>
              <w:rPr/>
            </w:pPr>
            <w:r>
              <w:rPr/>
              <w:t> </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326" w:type="dxa"/>
            <w:tcBorders/>
            <w:shd w:fill="auto" w:val="clear"/>
            <w:vAlign w:val="center"/>
          </w:tcPr>
          <w:p>
            <w:pPr>
              <w:pStyle w:val="TableContents"/>
              <w:spacing w:before="0" w:after="1"/>
              <w:ind w:left="0" w:right="0" w:hanging="0"/>
              <w:rPr/>
            </w:pPr>
            <w:r>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3,124</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Research and development technical service fees</w:t>
            </w:r>
          </w:p>
        </w:tc>
        <w:tc>
          <w:tcPr>
            <w:tcW w:w="326" w:type="dxa"/>
            <w:tcBorders/>
            <w:shd w:fill="CCEEFF" w:val="clear"/>
            <w:vAlign w:val="center"/>
          </w:tcPr>
          <w:p>
            <w:pPr>
              <w:pStyle w:val="TableContents"/>
              <w:spacing w:before="0" w:after="1"/>
              <w:ind w:left="0" w:right="0" w:hanging="0"/>
              <w:rPr/>
            </w:pPr>
            <w:r>
              <w:rPr/>
              <w:t> </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1,313</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Expenses of low-value consumables</w:t>
            </w:r>
          </w:p>
        </w:tc>
        <w:tc>
          <w:tcPr>
            <w:tcW w:w="326" w:type="dxa"/>
            <w:tcBorders/>
            <w:shd w:fill="auto" w:val="clear"/>
            <w:vAlign w:val="center"/>
          </w:tcPr>
          <w:p>
            <w:pPr>
              <w:pStyle w:val="TableContents"/>
              <w:spacing w:before="0" w:after="1"/>
              <w:ind w:left="0" w:right="0" w:hanging="0"/>
              <w:rPr/>
            </w:pPr>
            <w:r>
              <w:rPr/>
              <w:t> </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326" w:type="dxa"/>
            <w:tcBorders/>
            <w:shd w:fill="auto" w:val="clear"/>
            <w:vAlign w:val="center"/>
          </w:tcPr>
          <w:p>
            <w:pPr>
              <w:pStyle w:val="TableContents"/>
              <w:spacing w:before="0" w:after="1"/>
              <w:ind w:left="0" w:right="0" w:hanging="0"/>
              <w:rPr/>
            </w:pPr>
            <w:r>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4,025</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Expenses of variable payment lease</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Expenses of short-term leases</w:t>
            </w:r>
          </w:p>
        </w:tc>
        <w:tc>
          <w:tcPr>
            <w:tcW w:w="326" w:type="dxa"/>
            <w:tcBorders/>
            <w:shd w:fill="auto" w:val="clear"/>
            <w:vAlign w:val="center"/>
          </w:tcPr>
          <w:p>
            <w:pPr>
              <w:pStyle w:val="TableContents"/>
              <w:spacing w:before="0" w:after="1"/>
              <w:ind w:left="0" w:right="0" w:hanging="0"/>
              <w:rPr/>
            </w:pPr>
            <w:r>
              <w:rPr/>
              <w:t> </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auto" w:val="clear"/>
            <w:vAlign w:val="center"/>
          </w:tcPr>
          <w:p>
            <w:pPr>
              <w:pStyle w:val="TableContents"/>
              <w:spacing w:before="0" w:after="1"/>
              <w:ind w:left="0" w:right="0" w:hanging="0"/>
              <w:rPr/>
            </w:pPr>
            <w:r>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Impairment loss of mining machines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pPr>
            <w:r>
              <w:rPr/>
              <w:t>—</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Logistic expenses</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Travel expenses</w:t>
            </w:r>
          </w:p>
        </w:tc>
        <w:tc>
          <w:tcPr>
            <w:tcW w:w="326" w:type="dxa"/>
            <w:tcBorders/>
            <w:shd w:fill="CCEEFF" w:val="clear"/>
            <w:vAlign w:val="center"/>
          </w:tcPr>
          <w:p>
            <w:pPr>
              <w:pStyle w:val="TableContents"/>
              <w:spacing w:before="0" w:after="1"/>
              <w:ind w:left="0" w:right="0" w:hanging="0"/>
              <w:rPr/>
            </w:pPr>
            <w:r>
              <w:rPr/>
              <w:t>​</w:t>
            </w:r>
          </w:p>
        </w:tc>
        <w:tc>
          <w:tcPr>
            <w:tcW w:w="8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1,393</w:t>
            </w:r>
          </w:p>
        </w:tc>
        <w:tc>
          <w:tcPr>
            <w:tcW w:w="32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3,202</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Insurance fee</w:t>
            </w:r>
          </w:p>
        </w:tc>
        <w:tc>
          <w:tcPr>
            <w:tcW w:w="326" w:type="dxa"/>
            <w:tcBorders/>
            <w:shd w:fill="auto" w:val="clear"/>
            <w:vAlign w:val="center"/>
          </w:tcPr>
          <w:p>
            <w:pPr>
              <w:pStyle w:val="TableContents"/>
              <w:spacing w:before="0" w:after="1"/>
              <w:ind w:left="0" w:right="0" w:hanging="0"/>
              <w:rPr/>
            </w:pPr>
            <w:r>
              <w:rPr/>
              <w:t>​</w:t>
            </w:r>
          </w:p>
        </w:tc>
        <w:tc>
          <w:tcPr>
            <w:tcW w:w="8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3,446</w:t>
            </w:r>
          </w:p>
        </w:tc>
      </w:tr>
      <w:tr>
        <w:trPr/>
        <w:tc>
          <w:tcPr>
            <w:tcW w:w="693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84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109" w:type="dxa"/>
            <w:tcBorders/>
            <w:shd w:fill="CCEEFF" w:val="clear"/>
            <w:vAlign w:val="center"/>
          </w:tcPr>
          <w:p>
            <w:pPr>
              <w:pStyle w:val="TableContents"/>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4,826</w:t>
            </w:r>
          </w:p>
        </w:tc>
        <w:tc>
          <w:tcPr>
            <w:tcW w:w="326" w:type="dxa"/>
            <w:tcBorders/>
            <w:shd w:fill="CCEEFF" w:val="clear"/>
            <w:vAlign w:val="center"/>
          </w:tcPr>
          <w:p>
            <w:pPr>
              <w:pStyle w:val="TableContents"/>
              <w:spacing w:before="0" w:after="1"/>
              <w:ind w:left="0" w:right="0" w:hanging="0"/>
              <w:rPr/>
            </w:pPr>
            <w:r>
              <w:rPr/>
              <w:t> </w:t>
            </w:r>
          </w:p>
        </w:tc>
        <w:tc>
          <w:tcPr>
            <w:tcW w:w="8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12,756</w:t>
            </w:r>
          </w:p>
        </w:tc>
      </w:tr>
      <w:tr>
        <w:trPr/>
        <w:tc>
          <w:tcPr>
            <w:tcW w:w="693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cost of revenue, selling, general and administrative and research and development expenses</w:t>
            </w:r>
          </w:p>
        </w:tc>
        <w:tc>
          <w:tcPr>
            <w:tcW w:w="326" w:type="dxa"/>
            <w:tcBorders/>
            <w:shd w:fill="auto" w:val="clear"/>
            <w:vAlign w:val="center"/>
          </w:tcPr>
          <w:p>
            <w:pPr>
              <w:pStyle w:val="TableContents"/>
              <w:spacing w:before="0" w:after="1"/>
              <w:ind w:left="0" w:right="0" w:hanging="0"/>
              <w:rPr/>
            </w:pPr>
            <w:r>
              <w:rPr/>
              <w:t> </w:t>
            </w:r>
          </w:p>
        </w:tc>
        <w:tc>
          <w:tcPr>
            <w:tcW w:w="84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245,189</w:t>
            </w:r>
          </w:p>
        </w:tc>
        <w:tc>
          <w:tcPr>
            <w:tcW w:w="109" w:type="dxa"/>
            <w:tcBorders/>
            <w:shd w:fill="auto" w:val="clear"/>
            <w:vAlign w:val="center"/>
          </w:tcPr>
          <w:p>
            <w:pPr>
              <w:pStyle w:val="TableContents"/>
              <w:spacing w:before="0" w:after="1"/>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280,939</w:t>
            </w:r>
          </w:p>
        </w:tc>
        <w:tc>
          <w:tcPr>
            <w:tcW w:w="326" w:type="dxa"/>
            <w:tcBorders/>
            <w:shd w:fill="auto" w:val="clear"/>
            <w:vAlign w:val="center"/>
          </w:tcPr>
          <w:p>
            <w:pPr>
              <w:pStyle w:val="TableContents"/>
              <w:spacing w:before="0" w:after="1"/>
              <w:ind w:left="0" w:right="0" w:hanging="0"/>
              <w:rPr/>
            </w:pPr>
            <w:r>
              <w:rPr/>
              <w:t> </w:t>
            </w:r>
          </w:p>
        </w:tc>
        <w:tc>
          <w:tcPr>
            <w:tcW w:w="887"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390,656</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Normal"/>
        <w:spacing w:before="0" w:after="0"/>
        <w:rPr>
          <w:sz w:val="4"/>
          <w:szCs w:val="4"/>
        </w:rPr>
      </w:pPr>
      <w:r>
        <w:rPr>
          <w:sz w:val="4"/>
          <w:szCs w:val="4"/>
        </w:rPr>
      </w:r>
      <w:bookmarkStart w:id="1513" w:name="Tc_Q5fPHM-ue0eu_mBBMZmJIQ_10_0"/>
      <w:bookmarkStart w:id="1514" w:name="Tc_MhPVaP9lQUaipqrXvKjrag_9_0"/>
      <w:bookmarkStart w:id="1515" w:name="Tc_tdh8HuwIREyDE_8WlUnU_w_8_2"/>
      <w:bookmarkStart w:id="1516" w:name="Tc_RSQF5HcKPEyQy0ft_GBRlg_8_0"/>
      <w:bookmarkStart w:id="1517" w:name="Tc_6yFuJjabhE-I7Ub6Eph-lQ_7_6"/>
      <w:bookmarkStart w:id="1518" w:name="Tc_KQnRPUbCJkqnaaWncGfRNg_7_0"/>
      <w:bookmarkStart w:id="1519" w:name="Tc_x3H4oa8jxEK-1HzQNzQDcA_6_0"/>
      <w:bookmarkStart w:id="1520" w:name="Tc_CIVGmC2xBUam4ee6aXGZWQ_5_0"/>
      <w:bookmarkStart w:id="1521" w:name="Tc_5mrukzKkAU65loP0kbC2Ag_4_0"/>
      <w:bookmarkStart w:id="1522" w:name="Tc_BbY66uUqeE6Q_gBT1dZXZg_3_0"/>
      <w:bookmarkStart w:id="1523" w:name="Tc_q7xLw_1O4EytHtBNqfVtfw_2_6"/>
      <w:bookmarkStart w:id="1524" w:name="Tc_nF06jUS2N022o6H7Z9z6OQ_2_4"/>
      <w:bookmarkStart w:id="1525" w:name="Tc_ZlDhBZaIlEeeAdCIKEfWEg_2_2"/>
      <w:bookmarkStart w:id="1526" w:name="Tc_vzZfXFcrqU6takTLkfjIzQ_2_0"/>
      <w:bookmarkStart w:id="1527" w:name="Tc_xK7PIeuO7Eqpj5Z1GaojvA_1_2"/>
      <w:bookmarkStart w:id="1528" w:name="Tc_xqrt_cABa0i4qDjV6xCz3Q_12_0"/>
      <w:bookmarkStart w:id="1529" w:name="Tc_N3BlZcOyTUuMbgExgXUpwg_11_0"/>
      <w:bookmarkStart w:id="1530" w:name="Tc_f2HuK2DrOEq1sunk4Yhp6g_10_6"/>
      <w:bookmarkStart w:id="1531" w:name="Tc_5Shf7H-v40OgMRvaEWYbUA_10_2"/>
      <w:bookmarkStart w:id="1532" w:name="Tc_wZ3P2L7enkufHb8sS5qQYQ_10_0"/>
      <w:bookmarkStart w:id="1533" w:name="Tc_nSGij6zpWEK1uPivR2lc4w_9_6"/>
      <w:bookmarkStart w:id="1534" w:name="Tc_wGYI2KHzFk6ol1ugln88rw_9_2"/>
      <w:bookmarkStart w:id="1535" w:name="Tc_55eUIzMLb0WC-EmC_ZSbvQ_9_0"/>
      <w:bookmarkStart w:id="1536" w:name="Tc_niI2qUzZbEmlFmNR8vGYpA_8_4"/>
      <w:bookmarkStart w:id="1537" w:name="Tc_qiEYh8pDm0q4yQ5NBM3ODw_8_2"/>
      <w:bookmarkStart w:id="1538" w:name="Tc_xmXnBtY-0EWT-DwbXyQybg_8_0"/>
      <w:bookmarkStart w:id="1539" w:name="Tc_Va7MlXE_O0GjwugRP2Lrzg_7_4"/>
      <w:bookmarkStart w:id="1540" w:name="Tc_9xzuFlAV20yDmAjubBuYdw_7_2"/>
      <w:bookmarkStart w:id="1541" w:name="Tc_HVFg-XjUNESYuw3xAOilZw_7_0"/>
      <w:bookmarkStart w:id="1542" w:name="Tc_-spv5rgq10q-SKbfBdjQug_6_0"/>
      <w:bookmarkStart w:id="1543" w:name="Tc_5TsUPb_QYEiT6l2lLJOTtQ_5_0"/>
      <w:bookmarkStart w:id="1544" w:name="Tc_HLixm0B_y0e3IRFepZd1mw_4_6"/>
      <w:bookmarkStart w:id="1545" w:name="Tc_s6nF1_MBn0e9lKwa4ZrkLg_4_2"/>
      <w:bookmarkStart w:id="1546" w:name="Tc_BwygxU_C0ESSGkHAkSf2Aw_4_0"/>
      <w:bookmarkStart w:id="1547" w:name="Tc_20LZqkwmjUyLn9PE_StpJw_3_6"/>
      <w:bookmarkStart w:id="1548" w:name="Tc_xI8AuznI-Uyz97MobT23ZA_3_4"/>
      <w:bookmarkStart w:id="1549" w:name="Tc_gKqXxpVQ_kKvaA9kDT4QQg_3_0"/>
      <w:bookmarkStart w:id="1550" w:name="Tc_Qq3xWfaF7EuEtE0oNXnyKQ_2_6"/>
      <w:bookmarkStart w:id="1551" w:name="Tc_n-RaPvKpeUCisIAmA6r78w_2_4"/>
      <w:bookmarkStart w:id="1552" w:name="Tc_GU98CLdTekKTRlaD3y0Qfw_2_2"/>
      <w:bookmarkStart w:id="1553" w:name="Tc_eay5QBpaX0-uwz4ZShpPXQ_2_0"/>
      <w:bookmarkStart w:id="1554" w:name="Tc_HhyqgLqStEimIOa6OcJxnw_1_2"/>
      <w:bookmarkStart w:id="1555" w:name="Tc_jc3fPV6xk0qJNP1-oA1jhg_9_0"/>
      <w:bookmarkStart w:id="1556" w:name="Tc_oyW_u4Hvz0W_feA4HiFDPA_8_6"/>
      <w:bookmarkStart w:id="1557" w:name="Tc_fQCb8TmEG0Kc9zEuNGNAGA_8_0"/>
      <w:bookmarkStart w:id="1558" w:name="Tc_yaFs5cNNaUK6HCxyPZfImg_7_6"/>
      <w:bookmarkStart w:id="1559" w:name="Tc_qWuOcCGYHkaN7kod_fixXg_7_4"/>
      <w:bookmarkStart w:id="1560" w:name="Tc_8VvPxp6uw0-rWZ3kWvAHtg_7_0"/>
      <w:bookmarkStart w:id="1561" w:name="Tc_wQifCfpCU0KDkaGqEe_QUQ_6_0"/>
      <w:bookmarkStart w:id="1562" w:name="Tc_bcD-Z6wbSEqGsbp4J9zj6Q_5_6"/>
      <w:bookmarkStart w:id="1563" w:name="Tc_g5dBjIceBUOUsbW0ZyicNQ_5_2"/>
      <w:bookmarkStart w:id="1564" w:name="Tc_wkbjKZeMAU25CEAnrbU4kQ_5_0"/>
      <w:bookmarkStart w:id="1565" w:name="Tc_mhEKoWDYc0KWAbMfRKFOOw_4_6"/>
      <w:bookmarkStart w:id="1566" w:name="Tc_y9-IZMN3_0CDpZbpESMM5Q_4_2"/>
      <w:bookmarkStart w:id="1567" w:name="Tc_1xQxkFzB002KmpojH-WtXQ_4_0"/>
      <w:bookmarkStart w:id="1568" w:name="Tc__7Ru9VpyzUm4sWzkRYw8dQ_3_0"/>
      <w:bookmarkStart w:id="1569" w:name="Tc_e5zPVpKSLk-5sZkb3BfkYw_2_6"/>
      <w:bookmarkStart w:id="1570" w:name="Tc_XDfrI8IrEEisi5xJwpT9Qg_2_4"/>
      <w:bookmarkStart w:id="1571" w:name="Tc_v8Nd2Kgv20O_AVj9XZDUtQ_2_2"/>
      <w:bookmarkStart w:id="1572" w:name="Tc_-Rmyn2tkBEeSDXGKuW52ag_2_0"/>
      <w:bookmarkStart w:id="1573" w:name="Tc_tMIEsegidUKwEPSwVUXafg_1_2"/>
      <w:bookmarkStart w:id="1574" w:name="Tc_Q5fPHM-ue0eu_mBBMZmJIQ_10_0"/>
      <w:bookmarkStart w:id="1575" w:name="Tc_MhPVaP9lQUaipqrXvKjrag_9_0"/>
      <w:bookmarkStart w:id="1576" w:name="Tc_tdh8HuwIREyDE_8WlUnU_w_8_2"/>
      <w:bookmarkStart w:id="1577" w:name="Tc_RSQF5HcKPEyQy0ft_GBRlg_8_0"/>
      <w:bookmarkStart w:id="1578" w:name="Tc_6yFuJjabhE-I7Ub6Eph-lQ_7_6"/>
      <w:bookmarkStart w:id="1579" w:name="Tc_KQnRPUbCJkqnaaWncGfRNg_7_0"/>
      <w:bookmarkStart w:id="1580" w:name="Tc_x3H4oa8jxEK-1HzQNzQDcA_6_0"/>
      <w:bookmarkStart w:id="1581" w:name="Tc_CIVGmC2xBUam4ee6aXGZWQ_5_0"/>
      <w:bookmarkStart w:id="1582" w:name="Tc_5mrukzKkAU65loP0kbC2Ag_4_0"/>
      <w:bookmarkStart w:id="1583" w:name="Tc_BbY66uUqeE6Q_gBT1dZXZg_3_0"/>
      <w:bookmarkStart w:id="1584" w:name="Tc_q7xLw_1O4EytHtBNqfVtfw_2_6"/>
      <w:bookmarkStart w:id="1585" w:name="Tc_nF06jUS2N022o6H7Z9z6OQ_2_4"/>
      <w:bookmarkStart w:id="1586" w:name="Tc_ZlDhBZaIlEeeAdCIKEfWEg_2_2"/>
      <w:bookmarkStart w:id="1587" w:name="Tc_vzZfXFcrqU6takTLkfjIzQ_2_0"/>
      <w:bookmarkStart w:id="1588" w:name="Tc_xK7PIeuO7Eqpj5Z1GaojvA_1_2"/>
      <w:bookmarkStart w:id="1589" w:name="Tc_xqrt_cABa0i4qDjV6xCz3Q_12_0"/>
      <w:bookmarkStart w:id="1590" w:name="Tc_N3BlZcOyTUuMbgExgXUpwg_11_0"/>
      <w:bookmarkStart w:id="1591" w:name="Tc_f2HuK2DrOEq1sunk4Yhp6g_10_6"/>
      <w:bookmarkStart w:id="1592" w:name="Tc_5Shf7H-v40OgMRvaEWYbUA_10_2"/>
      <w:bookmarkStart w:id="1593" w:name="Tc_wZ3P2L7enkufHb8sS5qQYQ_10_0"/>
      <w:bookmarkStart w:id="1594" w:name="Tc_nSGij6zpWEK1uPivR2lc4w_9_6"/>
      <w:bookmarkStart w:id="1595" w:name="Tc_wGYI2KHzFk6ol1ugln88rw_9_2"/>
      <w:bookmarkStart w:id="1596" w:name="Tc_55eUIzMLb0WC-EmC_ZSbvQ_9_0"/>
      <w:bookmarkStart w:id="1597" w:name="Tc_niI2qUzZbEmlFmNR8vGYpA_8_4"/>
      <w:bookmarkStart w:id="1598" w:name="Tc_qiEYh8pDm0q4yQ5NBM3ODw_8_2"/>
      <w:bookmarkStart w:id="1599" w:name="Tc_xmXnBtY-0EWT-DwbXyQybg_8_0"/>
      <w:bookmarkStart w:id="1600" w:name="Tc_Va7MlXE_O0GjwugRP2Lrzg_7_4"/>
      <w:bookmarkStart w:id="1601" w:name="Tc_9xzuFlAV20yDmAjubBuYdw_7_2"/>
      <w:bookmarkStart w:id="1602" w:name="Tc_HVFg-XjUNESYuw3xAOilZw_7_0"/>
      <w:bookmarkStart w:id="1603" w:name="Tc_-spv5rgq10q-SKbfBdjQug_6_0"/>
      <w:bookmarkStart w:id="1604" w:name="Tc_5TsUPb_QYEiT6l2lLJOTtQ_5_0"/>
      <w:bookmarkStart w:id="1605" w:name="Tc_HLixm0B_y0e3IRFepZd1mw_4_6"/>
      <w:bookmarkStart w:id="1606" w:name="Tc_s6nF1_MBn0e9lKwa4ZrkLg_4_2"/>
      <w:bookmarkStart w:id="1607" w:name="Tc_BwygxU_C0ESSGkHAkSf2Aw_4_0"/>
      <w:bookmarkStart w:id="1608" w:name="Tc_20LZqkwmjUyLn9PE_StpJw_3_6"/>
      <w:bookmarkStart w:id="1609" w:name="Tc_xI8AuznI-Uyz97MobT23ZA_3_4"/>
      <w:bookmarkStart w:id="1610" w:name="Tc_gKqXxpVQ_kKvaA9kDT4QQg_3_0"/>
      <w:bookmarkStart w:id="1611" w:name="Tc_Qq3xWfaF7EuEtE0oNXnyKQ_2_6"/>
      <w:bookmarkStart w:id="1612" w:name="Tc_n-RaPvKpeUCisIAmA6r78w_2_4"/>
      <w:bookmarkStart w:id="1613" w:name="Tc_GU98CLdTekKTRlaD3y0Qfw_2_2"/>
      <w:bookmarkStart w:id="1614" w:name="Tc_eay5QBpaX0-uwz4ZShpPXQ_2_0"/>
      <w:bookmarkStart w:id="1615" w:name="Tc_HhyqgLqStEimIOa6OcJxnw_1_2"/>
      <w:bookmarkStart w:id="1616" w:name="Tc_jc3fPV6xk0qJNP1-oA1jhg_9_0"/>
      <w:bookmarkStart w:id="1617" w:name="Tc_oyW_u4Hvz0W_feA4HiFDPA_8_6"/>
      <w:bookmarkStart w:id="1618" w:name="Tc_fQCb8TmEG0Kc9zEuNGNAGA_8_0"/>
      <w:bookmarkStart w:id="1619" w:name="Tc_yaFs5cNNaUK6HCxyPZfImg_7_6"/>
      <w:bookmarkStart w:id="1620" w:name="Tc_qWuOcCGYHkaN7kod_fixXg_7_4"/>
      <w:bookmarkStart w:id="1621" w:name="Tc_8VvPxp6uw0-rWZ3kWvAHtg_7_0"/>
      <w:bookmarkStart w:id="1622" w:name="Tc_wQifCfpCU0KDkaGqEe_QUQ_6_0"/>
      <w:bookmarkStart w:id="1623" w:name="Tc_bcD-Z6wbSEqGsbp4J9zj6Q_5_6"/>
      <w:bookmarkStart w:id="1624" w:name="Tc_g5dBjIceBUOUsbW0ZyicNQ_5_2"/>
      <w:bookmarkStart w:id="1625" w:name="Tc_wkbjKZeMAU25CEAnrbU4kQ_5_0"/>
      <w:bookmarkStart w:id="1626" w:name="Tc_mhEKoWDYc0KWAbMfRKFOOw_4_6"/>
      <w:bookmarkStart w:id="1627" w:name="Tc_y9-IZMN3_0CDpZbpESMM5Q_4_2"/>
      <w:bookmarkStart w:id="1628" w:name="Tc_1xQxkFzB002KmpojH-WtXQ_4_0"/>
      <w:bookmarkStart w:id="1629" w:name="Tc__7Ru9VpyzUm4sWzkRYw8dQ_3_0"/>
      <w:bookmarkStart w:id="1630" w:name="Tc_e5zPVpKSLk-5sZkb3BfkYw_2_6"/>
      <w:bookmarkStart w:id="1631" w:name="Tc_XDfrI8IrEEisi5xJwpT9Qg_2_4"/>
      <w:bookmarkStart w:id="1632" w:name="Tc_v8Nd2Kgv20O_AVj9XZDUtQ_2_2"/>
      <w:bookmarkStart w:id="1633" w:name="Tc_-Rmyn2tkBEeSDXGKuW52ag_2_0"/>
      <w:bookmarkStart w:id="1634" w:name="Tc_tMIEsegidUKwEPSwVUXafg_1_2"/>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p>
    <w:tbl>
      <w:tblPr>
        <w:tblW w:w="3422" w:type="dxa"/>
        <w:jc w:val="left"/>
        <w:tblInd w:w="0" w:type="dxa"/>
        <w:tblCellMar>
          <w:top w:w="0" w:type="dxa"/>
          <w:left w:w="0" w:type="dxa"/>
          <w:bottom w:w="0" w:type="dxa"/>
          <w:right w:w="0" w:type="dxa"/>
        </w:tblCellMar>
      </w:tblPr>
      <w:tblGrid>
        <w:gridCol w:w="346"/>
        <w:gridCol w:w="3076"/>
      </w:tblGrid>
      <w:tr>
        <w:trPr/>
        <w:tc>
          <w:tcPr>
            <w:tcW w:w="346"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(b)</w:t>
            </w:r>
          </w:p>
        </w:tc>
        <w:tc>
          <w:tcPr>
            <w:tcW w:w="3076"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operating income / (expenses)</w:t>
            </w:r>
          </w:p>
        </w:tc>
      </w:tr>
    </w:tbl>
    <w:p>
      <w:pPr>
        <w:pStyle w:val="TextBody"/>
        <w:spacing w:before="0" w:after="0"/>
        <w:ind w:left="0" w:right="0" w:hanging="0"/>
        <w:rPr/>
      </w:pPr>
      <w:r>
        <w:rPr/>
        <w:t>​</w:t>
      </w:r>
    </w:p>
    <w:tbl>
      <w:tblPr>
        <w:tblW w:w="7020" w:type="dxa"/>
        <w:jc w:val="left"/>
        <w:tblInd w:w="0" w:type="dxa"/>
        <w:tblCellMar>
          <w:top w:w="0" w:type="dxa"/>
          <w:left w:w="0" w:type="dxa"/>
          <w:bottom w:w="0" w:type="dxa"/>
          <w:right w:w="0" w:type="dxa"/>
        </w:tblCellMar>
      </w:tblPr>
      <w:tblGrid>
        <w:gridCol w:w="4141"/>
        <w:gridCol w:w="326"/>
        <w:gridCol w:w="691"/>
        <w:gridCol w:w="109"/>
        <w:gridCol w:w="691"/>
        <w:gridCol w:w="326"/>
        <w:gridCol w:w="736"/>
      </w:tblGrid>
      <w:tr>
        <w:trPr/>
        <w:tc>
          <w:tcPr>
            <w:tcW w:w="4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r>
      <w:tr>
        <w:trPr/>
        <w:tc>
          <w:tcPr>
            <w:tcW w:w="4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5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14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 / (losses) on disposal of cryptocurrencies</w:t>
            </w:r>
          </w:p>
        </w:tc>
        <w:tc>
          <w:tcPr>
            <w:tcW w:w="326" w:type="dxa"/>
            <w:tcBorders/>
            <w:shd w:fill="CCEEFF" w:val="clear"/>
            <w:vAlign w:val="center"/>
          </w:tcPr>
          <w:p>
            <w:pPr>
              <w:pStyle w:val="TableContents"/>
              <w:spacing w:before="0" w:after="1"/>
              <w:ind w:left="0" w:right="0" w:hanging="0"/>
              <w:jc w:val="center"/>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2,716</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18,725</w:t>
            </w:r>
          </w:p>
        </w:tc>
        <w:tc>
          <w:tcPr>
            <w:tcW w:w="326" w:type="dxa"/>
            <w:tcBorders/>
            <w:shd w:fill="CCEEFF" w:val="clear"/>
            <w:vAlign w:val="center"/>
          </w:tcPr>
          <w:p>
            <w:pPr>
              <w:pStyle w:val="TableContents"/>
              <w:spacing w:before="0" w:after="1"/>
              <w:ind w:left="0" w:right="0" w:hanging="0"/>
              <w:jc w:val="center"/>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(3,131)</w:t>
            </w:r>
          </w:p>
        </w:tc>
      </w:tr>
      <w:tr>
        <w:trPr/>
        <w:tc>
          <w:tcPr>
            <w:tcW w:w="4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loss of cryptocurrencies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41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fair value of cryptocurrencies lent</w:t>
            </w:r>
          </w:p>
        </w:tc>
        <w:tc>
          <w:tcPr>
            <w:tcW w:w="326" w:type="dxa"/>
            <w:tcBorders/>
            <w:shd w:fill="CCEEFF" w:val="clear"/>
            <w:vAlign w:val="center"/>
          </w:tcPr>
          <w:p>
            <w:pPr>
              <w:pStyle w:val="TableContents"/>
              <w:spacing w:before="0" w:after="1"/>
              <w:ind w:left="0" w:right="0" w:hanging="0"/>
              <w:jc w:val="center"/>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(3,735)</w:t>
            </w:r>
          </w:p>
        </w:tc>
        <w:tc>
          <w:tcPr>
            <w:tcW w:w="326" w:type="dxa"/>
            <w:tcBorders/>
            <w:shd w:fill="CCEEFF" w:val="clear"/>
            <w:vAlign w:val="center"/>
          </w:tcPr>
          <w:p>
            <w:pPr>
              <w:pStyle w:val="TableContents"/>
              <w:spacing w:before="0" w:after="1"/>
              <w:ind w:left="0" w:right="0" w:hanging="0"/>
              <w:jc w:val="center"/>
              <w:rPr/>
            </w:pPr>
            <w:r>
              <w:rPr/>
              <w:t>​</w:t>
            </w:r>
          </w:p>
        </w:tc>
        <w:tc>
          <w:tcPr>
            <w:tcW w:w="736" w:type="dxa"/>
            <w:tcBorders/>
            <w:shd w:fill="CCEEFF" w:val="clear"/>
            <w:vAlign w:val="center"/>
          </w:tcPr>
          <w:p>
            <w:pPr>
              <w:pStyle w:val="TableContents"/>
              <w:spacing w:before="0" w:after="1"/>
              <w:ind w:left="0" w:right="0" w:hanging="0"/>
              <w:jc w:val="right"/>
              <w:rPr/>
            </w:pPr>
            <w:r>
              <w:rPr/>
              <w:t>—</w:t>
            </w:r>
          </w:p>
        </w:tc>
      </w:tr>
      <w:tr>
        <w:trPr/>
        <w:tc>
          <w:tcPr>
            <w:tcW w:w="4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on disposal of mining machine</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(2,984)</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414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Write-off of receivables from a related party</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4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414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(2,045)</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14,625</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(3,628)</w:t>
            </w:r>
          </w:p>
        </w:tc>
      </w:tr>
    </w:tbl>
    <w:p>
      <w:pPr>
        <w:pStyle w:val="TextBody"/>
        <w:spacing w:before="0" w:after="24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99"/>
        <w:gridCol w:w="9782"/>
      </w:tblGrid>
      <w:tr>
        <w:trPr/>
        <w:tc>
          <w:tcPr>
            <w:tcW w:w="12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(1)</w:t>
            </w:r>
          </w:p>
        </w:tc>
        <w:tc>
          <w:tcPr>
            <w:tcW w:w="978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 2020, Bishkek Maker Cloud Technologies Co., Ltd. (“Bishkek”), an entity of the Bitdeer Business, waived a receivable of approximately US$2.0</w:t>
            </w:r>
            <w:r>
              <w:rPr>
                <w:caps w:val="false"/>
                <w:smallCaps w:val="false"/>
                <w:color w:val="231F20"/>
              </w:rPr>
              <w:t xml:space="preserve"> </w:t>
            </w:r>
            <w:r>
              <w:rPr>
                <w:rFonts w:ascii="Times New Roman;Times;serif" w:hAnsi="Times New Roman;Times;serif"/>
                <w:b w:val="false"/>
                <w:i w:val="false"/>
                <w:caps w:val="false"/>
                <w:smallCaps w:val="false"/>
                <w:color w:val="231F20"/>
                <w:sz w:val="20"/>
              </w:rPr>
              <w:t>million from one of the subsidiaries of Bitmain. Bishkek was disposed of in July 2021.</w:t>
            </w:r>
          </w:p>
        </w:tc>
      </w:tr>
    </w:tbl>
    <w:tbl>
      <w:tblPr>
        <w:tblW w:w="2222" w:type="dxa"/>
        <w:jc w:val="left"/>
        <w:tblInd w:w="0" w:type="dxa"/>
        <w:tblCellMar>
          <w:top w:w="0" w:type="dxa"/>
          <w:left w:w="0" w:type="dxa"/>
          <w:bottom w:w="0" w:type="dxa"/>
          <w:right w:w="0" w:type="dxa"/>
        </w:tblCellMar>
      </w:tblPr>
      <w:tblGrid>
        <w:gridCol w:w="331"/>
        <w:gridCol w:w="1891"/>
      </w:tblGrid>
      <w:tr>
        <w:trPr/>
        <w:tc>
          <w:tcPr>
            <w:tcW w:w="331"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(c)</w:t>
            </w:r>
          </w:p>
        </w:tc>
        <w:tc>
          <w:tcPr>
            <w:tcW w:w="189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net gain / (loss)</w:t>
            </w:r>
          </w:p>
        </w:tc>
      </w:tr>
    </w:tbl>
    <w:p>
      <w:pPr>
        <w:pStyle w:val="TextBody"/>
        <w:spacing w:before="0" w:after="0"/>
        <w:ind w:left="0" w:right="0" w:hanging="0"/>
        <w:rPr/>
      </w:pPr>
      <w:r>
        <w:rPr/>
        <w:t>​</w:t>
      </w:r>
    </w:p>
    <w:tbl>
      <w:tblPr>
        <w:tblW w:w="8970" w:type="dxa"/>
        <w:jc w:val="left"/>
        <w:tblInd w:w="0" w:type="dxa"/>
        <w:tblCellMar>
          <w:top w:w="0" w:type="dxa"/>
          <w:left w:w="0" w:type="dxa"/>
          <w:bottom w:w="0" w:type="dxa"/>
          <w:right w:w="0" w:type="dxa"/>
        </w:tblCellMar>
      </w:tblPr>
      <w:tblGrid>
        <w:gridCol w:w="6241"/>
        <w:gridCol w:w="326"/>
        <w:gridCol w:w="691"/>
        <w:gridCol w:w="109"/>
        <w:gridCol w:w="691"/>
        <w:gridCol w:w="326"/>
        <w:gridCol w:w="586"/>
      </w:tblGrid>
      <w:tr>
        <w:trPr/>
        <w:tc>
          <w:tcPr>
            <w:tcW w:w="6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963035" cy="175260"/>
                      <wp:effectExtent l="0" t="0" r="0" b="0"/>
                      <wp:wrapNone/>
                      <wp:docPr id="328" name="Frame327"/>
                      <a:graphic xmlns:a="http://schemas.openxmlformats.org/drawingml/2006/main">
                        <a:graphicData uri="http://schemas.microsoft.com/office/word/2010/wordprocessingShape">
                          <wps:wsp>
                            <wps:cNvSpPr txBox="1"/>
                            <wps:spPr>
                              <a:xfrm>
                                <a:off x="0" y="0"/>
                                <a:ext cx="396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8785" cy="175260"/>
                      <wp:effectExtent l="0" t="0" r="0" b="0"/>
                      <wp:wrapNone/>
                      <wp:docPr id="330" name="Frame32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8785" cy="175260"/>
                      <wp:effectExtent l="0" t="0" r="0" b="0"/>
                      <wp:wrapNone/>
                      <wp:docPr id="332" name="Frame33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72110" cy="175260"/>
                      <wp:effectExtent l="0" t="0" r="0" b="0"/>
                      <wp:wrapNone/>
                      <wp:docPr id="334" name="Frame33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2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0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24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impairment of property, plant and equipment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(2,211)</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pPr>
            <w:r>
              <w:rPr/>
              <w:t>—</w:t>
            </w:r>
          </w:p>
        </w:tc>
      </w:tr>
      <w:tr>
        <w:trPr/>
        <w:tc>
          <w:tcPr>
            <w:tcW w:w="62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on extinguishment of debt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r>
      <w:tr>
        <w:trPr/>
        <w:tc>
          <w:tcPr>
            <w:tcW w:w="6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 on disposal of property, plant and equipment and intangible assets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62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Government grants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Changes in fair value of financial assets at fair value through profit or loss</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62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 on disposal of other financial assets</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624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Impairment loss of a pre-matured investment</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r>
      <w:tr>
        <w:trPr/>
        <w:tc>
          <w:tcPr>
            <w:tcW w:w="62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 on settlement of balances with Bitmain</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4,468</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r>
      <w:tr>
        <w:trPr/>
        <w:tc>
          <w:tcPr>
            <w:tcW w:w="6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109" w:type="dxa"/>
            <w:tcBorders/>
            <w:shd w:fill="CCEEFF" w:val="clear"/>
            <w:vAlign w:val="center"/>
          </w:tcPr>
          <w:p>
            <w:pPr>
              <w:pStyle w:val="TableContents"/>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(931)</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624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c>
          <w:tcPr>
            <w:tcW w:w="109" w:type="dxa"/>
            <w:tcBorders/>
            <w:shd w:fill="auto" w:val="clear"/>
            <w:vAlign w:val="center"/>
          </w:tcPr>
          <w:p>
            <w:pPr>
              <w:pStyle w:val="TableContents"/>
              <w:spacing w:before="0" w:after="1"/>
              <w:ind w:left="0" w:right="0" w:hanging="0"/>
              <w:jc w:val="right"/>
              <w:rPr/>
            </w:pPr>
            <w:r>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2,483</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357</w:t>
            </w:r>
          </w:p>
        </w:tc>
      </w:tr>
    </w:tbl>
    <w:p>
      <w:pPr>
        <w:pStyle w:val="TextBody"/>
        <w:spacing w:before="0" w:after="24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90"/>
        <w:gridCol w:w="9791"/>
      </w:tblGrid>
      <w:tr>
        <w:trPr/>
        <w:tc>
          <w:tcPr>
            <w:tcW w:w="12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9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Group signed a project investment agreement with a third party in April 2021 and made a payment of approximately $2</w:t>
            </w:r>
            <w:r>
              <w:rPr>
                <w:caps w:val="false"/>
                <w:smallCaps w:val="false"/>
              </w:rPr>
              <w:t xml:space="preserve"> </w:t>
            </w:r>
            <w:r>
              <w:rPr>
                <w:rFonts w:ascii="Times New Roman;Times;serif" w:hAnsi="Times New Roman;Times;serif"/>
                <w:b w:val="false"/>
                <w:i w:val="false"/>
                <w:caps w:val="false"/>
                <w:smallCaps w:val="false"/>
                <w:sz w:val="20"/>
              </w:rPr>
              <w:t>million. The project was later forfeited, and the Group is actively collecting the paid amount, which was impaired as of June 30, 2021 based on management’s estimate over the likelihood of collection at current stage.</w:t>
            </w:r>
          </w:p>
        </w:tc>
      </w:tr>
    </w:tbl>
    <w:p>
      <w:pPr>
        <w:pStyle w:val="TextBody"/>
        <w:spacing w:before="0" w:after="240"/>
        <w:ind w:left="720" w:right="0" w:hanging="0"/>
        <w:jc w:val="both"/>
        <w:rPr/>
      </w:pPr>
      <w:r>
        <w:rPr/>
        <w:t>​</w:t>
      </w:r>
    </w:p>
    <w:tbl>
      <w:tblPr>
        <w:tblW w:w="2792" w:type="dxa"/>
        <w:jc w:val="left"/>
        <w:tblInd w:w="0" w:type="dxa"/>
        <w:tblCellMar>
          <w:top w:w="0" w:type="dxa"/>
          <w:left w:w="0" w:type="dxa"/>
          <w:bottom w:w="0" w:type="dxa"/>
          <w:right w:w="0" w:type="dxa"/>
        </w:tblCellMar>
      </w:tblPr>
      <w:tblGrid>
        <w:gridCol w:w="346"/>
        <w:gridCol w:w="244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2446"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Finance income / (expenses)</w:t>
            </w:r>
          </w:p>
        </w:tc>
      </w:tr>
    </w:tbl>
    <w:p>
      <w:pPr>
        <w:pStyle w:val="TextBody"/>
        <w:spacing w:before="0" w:after="0"/>
        <w:ind w:left="0" w:right="0" w:hanging="0"/>
        <w:rPr/>
      </w:pPr>
      <w:r>
        <w:rPr/>
        <w:t>​</w:t>
      </w:r>
    </w:p>
    <w:tbl>
      <w:tblPr>
        <w:tblW w:w="6480" w:type="dxa"/>
        <w:jc w:val="left"/>
        <w:tblInd w:w="0" w:type="dxa"/>
        <w:tblCellMar>
          <w:top w:w="0" w:type="dxa"/>
          <w:left w:w="0" w:type="dxa"/>
          <w:bottom w:w="0" w:type="dxa"/>
          <w:right w:w="0" w:type="dxa"/>
        </w:tblCellMar>
      </w:tblPr>
      <w:tblGrid>
        <w:gridCol w:w="3751"/>
        <w:gridCol w:w="326"/>
        <w:gridCol w:w="541"/>
        <w:gridCol w:w="109"/>
        <w:gridCol w:w="691"/>
        <w:gridCol w:w="326"/>
        <w:gridCol w:w="736"/>
      </w:tblGrid>
      <w:tr>
        <w:trPr/>
        <w:tc>
          <w:tcPr>
            <w:tcW w:w="3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381885" cy="175260"/>
                      <wp:effectExtent l="0" t="0" r="0" b="0"/>
                      <wp:wrapNone/>
                      <wp:docPr id="335" name="Frame334"/>
                      <a:graphic xmlns:a="http://schemas.openxmlformats.org/drawingml/2006/main">
                        <a:graphicData uri="http://schemas.microsoft.com/office/word/2010/wordprocessingShape">
                          <wps:wsp>
                            <wps:cNvSpPr txBox="1"/>
                            <wps:spPr>
                              <a:xfrm>
                                <a:off x="0" y="0"/>
                                <a:ext cx="2381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43535" cy="175260"/>
                      <wp:effectExtent l="0" t="0" r="0" b="0"/>
                      <wp:wrapNone/>
                      <wp:docPr id="337" name="Frame336"/>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38785" cy="175260"/>
                      <wp:effectExtent l="0" t="0" r="0" b="0"/>
                      <wp:wrapNone/>
                      <wp:docPr id="339" name="Frame33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67360" cy="175260"/>
                      <wp:effectExtent l="0" t="0" r="0" b="0"/>
                      <wp:wrapNone/>
                      <wp:docPr id="341" name="Frame34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0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109"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Cryptocurrency transaction service fee</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109"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 (loss) on foreign currency transactions</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09"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4,291</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expenses on bank loan</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on convertible debt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37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37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5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109" w:type="dxa"/>
            <w:tcBorders/>
            <w:shd w:fill="auto" w:val="clear"/>
            <w:vAlign w:val="center"/>
          </w:tcPr>
          <w:p>
            <w:pPr>
              <w:pStyle w:val="TableContents"/>
              <w:spacing w:before="0" w:after="0"/>
              <w:ind w:left="0" w:right="0" w:hanging="0"/>
              <w:jc w:val="right"/>
              <w:rPr/>
            </w:pPr>
            <w:r>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1635" w:name="Tc_Chy7wS4QqUaqc-lV9gSKig_5_2"/>
      <w:bookmarkStart w:id="1636" w:name="Tc_GZstZ2s9mU2wKlyhCX7DDg_5_0"/>
      <w:bookmarkStart w:id="1637" w:name="Tc_amDTxpD-E02A1i9p6GPpgw_4_9"/>
      <w:bookmarkStart w:id="1638" w:name="Tc_2H_oLFQxzEed5wMNrjQLFQ_4_7"/>
      <w:bookmarkStart w:id="1639" w:name="Tc_fjqg2bgNr0aBO1XasKfNMw_4_5"/>
      <w:bookmarkStart w:id="1640" w:name="Tc_6R_nSTVfX0S_RBjxGy1tBw_4_3"/>
      <w:bookmarkStart w:id="1641" w:name="Tc_IRIsYUYCkEuJJ_PdIYgncQ_4_0"/>
      <w:bookmarkStart w:id="1642" w:name="Tc_s-xlZ5fAVUacgzZBcaT7Sg_3_9"/>
      <w:bookmarkStart w:id="1643" w:name="Tc_IwtuTVnbIEG2AzbhexvI-w_3_7"/>
      <w:bookmarkStart w:id="1644" w:name="Tc_ZCcHGp1l1UKlrSzjbU2YjA_3_5"/>
      <w:bookmarkStart w:id="1645" w:name="Tc_lvD4Kyba20mwEhb2OqjHNQ_3_3"/>
      <w:bookmarkStart w:id="1646" w:name="Tc_-rvsUIFcR0K96nA_laWmsg_3_0"/>
      <w:bookmarkStart w:id="1647" w:name="Tc_CIKvqMjQ0UqSiPUKEXGVTA_2_8"/>
      <w:bookmarkStart w:id="1648" w:name="Tc_dxd4479j-kqTac6sXDa3rg_2_6"/>
      <w:bookmarkStart w:id="1649" w:name="Tc_4zXnsm3SXUKpWYxDgVfGcw_2_4"/>
      <w:bookmarkStart w:id="1650" w:name="Tc_jNy-YUYmJEaKP36zikbc_g_2_2"/>
      <w:bookmarkStart w:id="1651" w:name="Tc_uVsQ1q8aw0SnK78MNqmxWg_2_0"/>
      <w:bookmarkStart w:id="1652" w:name="Tc_oaVFBrLu9k2CUYc8Ggf9mg_1_8"/>
      <w:bookmarkStart w:id="1653" w:name="Tc__OZNhXB_ukygKNerJ2yGsQ_1_6"/>
      <w:bookmarkStart w:id="1654" w:name="Tc_Wsek1n4wikelvyr5Ujqu7w_1_4"/>
      <w:bookmarkStart w:id="1655" w:name="Tc_zb10MNH8S0eIv8TIKQq3CQ_1_2"/>
      <w:bookmarkStart w:id="1656" w:name="_a7de7504_cd27_4b3e_8ba9_4f059509c63c"/>
      <w:bookmarkStart w:id="1657" w:name="Tc_Mo5ajZ32_kmI95BMlha9OA_5_2"/>
      <w:bookmarkStart w:id="1658" w:name="Tc_SIHd4AogfUqQ5BwVbqeeUw_5_0"/>
      <w:bookmarkStart w:id="1659" w:name="Tc_dwFHwb-2AkSuEa5Fm3r0aw_4_5"/>
      <w:bookmarkStart w:id="1660" w:name="Tc_e7AzpDBysU-Hv-7tqnOebA_4_3"/>
      <w:bookmarkStart w:id="1661" w:name="Tc_NNDZBR3bkU232uTh_Rt0ag_4_0"/>
      <w:bookmarkStart w:id="1662" w:name="Tc_tbwDQE4pG02mmJ_Qafd81g_3_5"/>
      <w:bookmarkStart w:id="1663" w:name="Tc_z6vVs8ksE0un2ki4EuDKgw_3_3"/>
      <w:bookmarkStart w:id="1664" w:name="Tc_KSXmJ5JBjEaKrzvtMQf5-Q_3_0"/>
      <w:bookmarkStart w:id="1665" w:name="Tc_wWKsZ-NHk0qLKCsxmfUXJw_2_4"/>
      <w:bookmarkStart w:id="1666" w:name="Tc_zZbPhZlrRE2C1cNUDB0f3Q_2_2"/>
      <w:bookmarkStart w:id="1667" w:name="Tc_BkPHU8109UWkPfGVFQd9ag_2_0"/>
      <w:bookmarkStart w:id="1668" w:name="Tc_0g7kbrQxwEeil6OwSjkTRg_1_4"/>
      <w:bookmarkStart w:id="1669" w:name="Tc_d2sNfnMAUUmfy6D2cCsqkQ_1_2"/>
      <w:bookmarkStart w:id="1670" w:name="_9c64e99b_79ae_4005_8e04_2993ff823299"/>
      <w:bookmarkStart w:id="1671" w:name="Tc_CZ2wKEj1BUydH0IU_vyKdQ_7_0"/>
      <w:bookmarkStart w:id="1672" w:name="Tc_0-Opb6fErkq-FRWp_k6mtA_6_0"/>
      <w:bookmarkStart w:id="1673" w:name="Tc_KI7KVA5gAEK6WPFB8KeVhQ_5_0"/>
      <w:bookmarkStart w:id="1674" w:name="Tc_LbM1umJBmkGdy396MANgwA_4_0"/>
      <w:bookmarkStart w:id="1675" w:name="Tc_UlHmx0_D4EKLyuKOfNPTiQ_3_0"/>
      <w:bookmarkStart w:id="1676" w:name="Tc_3dL-I5cvAE6cJdvE2tNBxg_2_4"/>
      <w:bookmarkStart w:id="1677" w:name="Tc_DtZV-eP7eU6ml9fLcmTE5A_2_2"/>
      <w:bookmarkStart w:id="1678" w:name="Tc_U02cI2ENtkybuCxN6AuaLg_2_0"/>
      <w:bookmarkStart w:id="1679" w:name="Tc_4sHfOUake0qG25w5-_yrsw_1_2"/>
      <w:bookmarkStart w:id="1680" w:name="Tc_3XOOQMxxC0KxsM0ijMgJBw_10_0"/>
      <w:bookmarkStart w:id="1681" w:name="Tc_dUjqifRMn0i1GcBACbuzsg_9_0"/>
      <w:bookmarkStart w:id="1682" w:name="Tc_TOz4Q6jaMUuhGctwX1EQDg_8_0"/>
      <w:bookmarkStart w:id="1683" w:name="Tc_BOIvplQsfE2kHASPpCf-8A_7_0"/>
      <w:bookmarkStart w:id="1684" w:name="Tc_xOwwDpqdBEekMT9_apvAKw_6_0"/>
      <w:bookmarkStart w:id="1685" w:name="Tc_qaUSIUdzPEakDk3ymWMmgQ_5_0"/>
      <w:bookmarkStart w:id="1686" w:name="Tc_O8vEQdrjKE-73tf71R-b2Q_4_6"/>
      <w:bookmarkStart w:id="1687" w:name="Tc_ol_R6nspAk-dNQ5OoAYt7g_4_4"/>
      <w:bookmarkStart w:id="1688" w:name="Tc_UU_hMA7iAEaT54hLE28L9g_4_2"/>
      <w:bookmarkStart w:id="1689" w:name="Tc_Fl-BkbBzwk-wc2zd_2ge8g_4_0"/>
      <w:bookmarkStart w:id="1690" w:name="Tc_rG-gMbChv0ygZuhc_qX9eA_3_6"/>
      <w:bookmarkStart w:id="1691" w:name="Tc_PtAvBQ1eFEOFzd1pSmS7Gg_3_4"/>
      <w:bookmarkStart w:id="1692" w:name="Tc_DWAZOCnCEE2uYja6gEr4Sw_3_2"/>
      <w:bookmarkStart w:id="1693" w:name="Tc_GudLov6NI0-MVf12ZqlbCg_2_6"/>
      <w:bookmarkStart w:id="1694" w:name="Tc_bKPjTJKp_USg9Wcf18l5rg_2_4"/>
      <w:bookmarkStart w:id="1695" w:name="Tc_E-8xJH-_Q0qq7JVDICEbrg_2_2"/>
      <w:bookmarkStart w:id="1696" w:name="Tc_ErWqBTqevEavVCDr5ejhZQ_1_6"/>
      <w:bookmarkStart w:id="1697" w:name="Tc_Doi_SJAQPEai-6ICv6Ttpw_1_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r>
        <w:rPr>
          <w:rFonts w:ascii="Times New Roman;Times;serif" w:hAnsi="Times New Roman;Times;serif"/>
          <w:b/>
          <w:sz w:val="20"/>
        </w:rPr>
        <w:t>17.     SHARE-BASED PAYMENTS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July 2021, the Board of Directors of the Group approved the adoption of the 2021 Share Incentive Plan (the “2021 Plan”). The Group granted a total of 1,097,852,000 share awards in two batches in August and November 2021 in the year ended December 31, 2021, and a total of 139,690,400 share awards in four batches in January, April, July and October 2022 in the year ended December 31, 2022, to the designated recipients under the 2021 Plan. Each share award grants an option for the recipient to purchase one share of the Group’s ordinary shares at an exercise price of US$0.03 per share. The majority of the share awards vest in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seven years and certain share awards vest immediately upon issuance. The recipient shall continue to provide services to the Group by each vesting date. All share awards granted in 2021 and 2022 expire on July 20, 2031.</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illustrates the number of shares and weighted average exercise prices of, and movements in, share awards:</w:t>
      </w:r>
    </w:p>
    <w:p>
      <w:pPr>
        <w:pStyle w:val="TextBody"/>
        <w:spacing w:before="0" w:after="0"/>
        <w:ind w:left="0" w:right="0" w:hanging="0"/>
        <w:rPr/>
      </w:pPr>
      <w:r>
        <w:rPr/>
        <w:t>​</w:t>
      </w:r>
    </w:p>
    <w:tbl>
      <w:tblPr>
        <w:tblW w:w="8872" w:type="dxa"/>
        <w:jc w:val="left"/>
        <w:tblInd w:w="0" w:type="dxa"/>
        <w:tblCellMar>
          <w:top w:w="0" w:type="dxa"/>
          <w:left w:w="0" w:type="dxa"/>
          <w:bottom w:w="0" w:type="dxa"/>
          <w:right w:w="0" w:type="dxa"/>
        </w:tblCellMar>
      </w:tblPr>
      <w:tblGrid>
        <w:gridCol w:w="3916"/>
        <w:gridCol w:w="326"/>
        <w:gridCol w:w="1081"/>
        <w:gridCol w:w="326"/>
        <w:gridCol w:w="1426"/>
        <w:gridCol w:w="326"/>
        <w:gridCol w:w="1471"/>
      </w:tblGrid>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0"/>
              <w:ind w:left="0" w:right="0" w:hanging="0"/>
              <w:jc w:val="center"/>
              <w:rPr/>
            </w:pPr>
            <w:r>
              <w:rPr/>
              <w:t>​</w:t>
            </w:r>
          </w:p>
        </w:tc>
        <w:tc>
          <w:tcPr>
            <w:tcW w:w="142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price per </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options(’000)</w:t>
            </w:r>
          </w:p>
        </w:tc>
        <w:tc>
          <w:tcPr>
            <w:tcW w:w="326" w:type="dxa"/>
            <w:tcBorders/>
            <w:shd w:fill="auto" w:val="clear"/>
            <w:vAlign w:val="center"/>
          </w:tcPr>
          <w:p>
            <w:pPr>
              <w:pStyle w:val="TableContents"/>
              <w:spacing w:before="0" w:after="0"/>
              <w:ind w:left="0" w:right="0" w:hanging="0"/>
              <w:jc w:val="center"/>
              <w:rPr/>
            </w:pPr>
            <w:r>
              <w:rPr/>
              <w:t>​</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option(US$)</w:t>
            </w:r>
          </w:p>
        </w:tc>
        <w:tc>
          <w:tcPr>
            <w:tcW w:w="326" w:type="dxa"/>
            <w:tcBorders/>
            <w:shd w:fill="auto" w:val="clear"/>
            <w:vAlign w:val="center"/>
          </w:tcPr>
          <w:p>
            <w:pPr>
              <w:pStyle w:val="TableContents"/>
              <w:spacing w:before="0" w:after="0"/>
              <w:ind w:left="0" w:right="0" w:hanging="0"/>
              <w:jc w:val="center"/>
              <w:rPr/>
            </w:pPr>
            <w:r>
              <w:rPr/>
              <w:t>​</w:t>
            </w:r>
          </w:p>
        </w:tc>
        <w:tc>
          <w:tcPr>
            <w:tcW w:w="14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option(US$)</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 at January 1, 2021</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71" w:type="dxa"/>
            <w:tcBorders/>
            <w:shd w:fill="CCEEFF" w:val="clear"/>
            <w:vAlign w:val="center"/>
          </w:tcPr>
          <w:p>
            <w:pPr>
              <w:pStyle w:val="TableContents"/>
              <w:spacing w:before="0" w:after="0"/>
              <w:ind w:left="0" w:right="0" w:hanging="0"/>
              <w:jc w:val="right"/>
              <w:rPr/>
            </w:pPr>
            <w:r>
              <w:rPr/>
              <w:t>—</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Granted during the year</w:t>
            </w:r>
          </w:p>
        </w:tc>
        <w:tc>
          <w:tcPr>
            <w:tcW w:w="326"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1,097,852</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auto" w:val="clear"/>
            <w:vAlign w:val="center"/>
          </w:tcPr>
          <w:p>
            <w:pPr>
              <w:pStyle w:val="TableContents"/>
              <w:spacing w:before="0" w:after="0"/>
              <w:ind w:left="0" w:right="0" w:hanging="0"/>
              <w:rPr/>
            </w:pPr>
            <w:r>
              <w:rPr/>
              <w:t>    </w:t>
            </w:r>
          </w:p>
        </w:tc>
        <w:tc>
          <w:tcPr>
            <w:tcW w:w="14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 at December 31, 2021</w:t>
            </w:r>
          </w:p>
        </w:tc>
        <w:tc>
          <w:tcPr>
            <w:tcW w:w="326" w:type="dxa"/>
            <w:tcBorders/>
            <w:shd w:fill="CCEEFF" w:val="cle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1,097,852</w:t>
            </w:r>
          </w:p>
        </w:tc>
        <w:tc>
          <w:tcPr>
            <w:tcW w:w="326" w:type="dxa"/>
            <w:tcBorders/>
            <w:shd w:fill="CCEEFF" w:val="clear"/>
            <w:vAlign w:val="center"/>
          </w:tcPr>
          <w:p>
            <w:pPr>
              <w:pStyle w:val="TableContents"/>
              <w:spacing w:before="0" w:after="0"/>
              <w:ind w:left="0" w:right="0" w:hanging="0"/>
              <w:rPr/>
            </w:pPr>
            <w:r>
              <w:rPr/>
              <w:t>    </w:t>
            </w:r>
          </w:p>
        </w:tc>
        <w:tc>
          <w:tcPr>
            <w:tcW w:w="14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spacing w:before="0" w:after="0"/>
              <w:ind w:left="0" w:right="0" w:hanging="0"/>
              <w:rPr/>
            </w:pPr>
            <w:r>
              <w:rPr/>
              <w:t>    </w:t>
            </w:r>
          </w:p>
        </w:tc>
        <w:tc>
          <w:tcPr>
            <w:tcW w:w="14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Granted during the year</w:t>
            </w:r>
          </w:p>
        </w:tc>
        <w:tc>
          <w:tcPr>
            <w:tcW w:w="326" w:type="dxa"/>
            <w:tcBorders/>
            <w:shd w:fill="auto" w:val="clear"/>
            <w:vAlign w:val="center"/>
          </w:tcPr>
          <w:p>
            <w:pPr>
              <w:pStyle w:val="TableContents"/>
              <w:spacing w:before="0" w:after="0"/>
              <w:ind w:left="0" w:right="0" w:hanging="0"/>
              <w:rPr/>
            </w:pPr>
            <w:r>
              <w:rPr/>
              <w:t> </w:t>
            </w:r>
          </w:p>
        </w:tc>
        <w:tc>
          <w:tcPr>
            <w:tcW w:w="108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139,690</w:t>
            </w:r>
          </w:p>
        </w:tc>
        <w:tc>
          <w:tcPr>
            <w:tcW w:w="326" w:type="dxa"/>
            <w:tcBorders/>
            <w:shd w:fill="auto" w:val="clear"/>
            <w:vAlign w:val="center"/>
          </w:tcPr>
          <w:p>
            <w:pPr>
              <w:pStyle w:val="TableContents"/>
              <w:spacing w:before="0" w:after="0"/>
              <w:ind w:left="0" w:right="0" w:hanging="0"/>
              <w:rPr/>
            </w:pPr>
            <w:r>
              <w:rPr/>
              <w:t> </w:t>
            </w:r>
          </w:p>
        </w:tc>
        <w:tc>
          <w:tcPr>
            <w:tcW w:w="1426"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auto" w:val="clear"/>
            <w:vAlign w:val="center"/>
          </w:tcPr>
          <w:p>
            <w:pPr>
              <w:pStyle w:val="TableContents"/>
              <w:spacing w:before="0" w:after="0"/>
              <w:ind w:left="0" w:right="0" w:hanging="0"/>
              <w:rPr/>
            </w:pPr>
            <w:r>
              <w:rPr/>
              <w:t> </w:t>
            </w:r>
          </w:p>
        </w:tc>
        <w:tc>
          <w:tcPr>
            <w:tcW w:w="14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(25,597)</w:t>
            </w:r>
          </w:p>
        </w:tc>
        <w:tc>
          <w:tcPr>
            <w:tcW w:w="326" w:type="dxa"/>
            <w:tcBorders/>
            <w:shd w:fill="CCEEFF" w:val="clear"/>
            <w:vAlign w:val="center"/>
          </w:tcPr>
          <w:p>
            <w:pPr>
              <w:pStyle w:val="TableContents"/>
              <w:spacing w:before="0" w:after="0"/>
              <w:ind w:left="0" w:right="0" w:hanging="0"/>
              <w:rPr/>
            </w:pPr>
            <w:r>
              <w:rPr/>
              <w:t> </w:t>
            </w:r>
          </w:p>
        </w:tc>
        <w:tc>
          <w:tcPr>
            <w:tcW w:w="14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spacing w:before="0" w:after="0"/>
              <w:ind w:left="0" w:right="0" w:hanging="0"/>
              <w:rPr/>
            </w:pPr>
            <w:r>
              <w:rPr/>
              <w:t> </w:t>
            </w:r>
          </w:p>
        </w:tc>
        <w:tc>
          <w:tcPr>
            <w:tcW w:w="14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 at December 31, 2022</w:t>
            </w:r>
          </w:p>
        </w:tc>
        <w:tc>
          <w:tcPr>
            <w:tcW w:w="326" w:type="dxa"/>
            <w:tcBorders/>
            <w:shd w:fill="auto" w:val="cle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1,211,945</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auto" w:val="clear"/>
            <w:vAlign w:val="center"/>
          </w:tcPr>
          <w:p>
            <w:pPr>
              <w:pStyle w:val="TableContents"/>
              <w:spacing w:before="0" w:after="0"/>
              <w:ind w:left="0" w:right="0" w:hanging="0"/>
              <w:rPr/>
            </w:pPr>
            <w:r>
              <w:rPr/>
              <w:t> </w:t>
            </w:r>
          </w:p>
        </w:tc>
        <w:tc>
          <w:tcPr>
            <w:tcW w:w="14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Vested and exercisable at December 31, 2022</w:t>
            </w:r>
          </w:p>
        </w:tc>
        <w:tc>
          <w:tcPr>
            <w:tcW w:w="326" w:type="dxa"/>
            <w:tcBorders/>
            <w:shd w:fill="CCEEFF" w:val="clear"/>
            <w:vAlign w:val="center"/>
          </w:tcPr>
          <w:p>
            <w:pPr>
              <w:pStyle w:val="TableContents"/>
              <w:spacing w:before="0" w:after="0"/>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417,767</w:t>
            </w:r>
          </w:p>
        </w:tc>
        <w:tc>
          <w:tcPr>
            <w:tcW w:w="326" w:type="dxa"/>
            <w:tcBorders/>
            <w:shd w:fill="CCEEFF" w:val="clear"/>
            <w:vAlign w:val="center"/>
          </w:tcPr>
          <w:p>
            <w:pPr>
              <w:pStyle w:val="TableContents"/>
              <w:spacing w:before="0" w:after="0"/>
              <w:ind w:left="0" w:right="0" w:hanging="0"/>
              <w:rPr/>
            </w:pPr>
            <w:r>
              <w:rPr/>
              <w:t> </w:t>
            </w:r>
          </w:p>
        </w:tc>
        <w:tc>
          <w:tcPr>
            <w:tcW w:w="14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0.03</w:t>
            </w:r>
          </w:p>
        </w:tc>
        <w:tc>
          <w:tcPr>
            <w:tcW w:w="326" w:type="dxa"/>
            <w:tcBorders/>
            <w:shd w:fill="CCEEFF" w:val="clear"/>
            <w:vAlign w:val="center"/>
          </w:tcPr>
          <w:p>
            <w:pPr>
              <w:pStyle w:val="TableContents"/>
              <w:spacing w:before="0" w:after="0"/>
              <w:ind w:left="0" w:right="0" w:hanging="0"/>
              <w:rPr/>
            </w:pPr>
            <w:r>
              <w:rPr/>
              <w:t> </w:t>
            </w:r>
          </w:p>
        </w:tc>
        <w:tc>
          <w:tcPr>
            <w:tcW w:w="147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0.22</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expense recognized for share awards during the year ended December 31, 2021 and 2022 was approximately US$88.4 million and US$90.6 million. The breakdown is as follows:</w:t>
      </w:r>
    </w:p>
    <w:p>
      <w:pPr>
        <w:pStyle w:val="TextBody"/>
        <w:spacing w:before="0" w:after="0"/>
        <w:ind w:left="0" w:right="0" w:hanging="0"/>
        <w:rPr/>
      </w:pPr>
      <w:r>
        <w:rPr/>
        <w:t>​</w:t>
      </w:r>
    </w:p>
    <w:tbl>
      <w:tblPr>
        <w:tblW w:w="5426" w:type="dxa"/>
        <w:jc w:val="left"/>
        <w:tblInd w:w="0" w:type="dxa"/>
        <w:tblCellMar>
          <w:top w:w="0" w:type="dxa"/>
          <w:left w:w="0" w:type="dxa"/>
          <w:bottom w:w="0" w:type="dxa"/>
          <w:right w:w="0" w:type="dxa"/>
        </w:tblCellMar>
      </w:tblPr>
      <w:tblGrid>
        <w:gridCol w:w="3091"/>
        <w:gridCol w:w="326"/>
        <w:gridCol w:w="847"/>
        <w:gridCol w:w="183"/>
        <w:gridCol w:w="979"/>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962785" cy="175260"/>
                      <wp:effectExtent l="0" t="0" r="0" b="0"/>
                      <wp:wrapNone/>
                      <wp:docPr id="342" name="Frame341"/>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37845" cy="175260"/>
                      <wp:effectExtent l="0" t="0" r="0" b="0"/>
                      <wp:wrapNone/>
                      <wp:docPr id="344" name="Frame343"/>
                      <a:graphic xmlns:a="http://schemas.openxmlformats.org/drawingml/2006/main">
                        <a:graphicData uri="http://schemas.microsoft.com/office/word/2010/wordprocessingShape">
                          <wps:wsp>
                            <wps:cNvSpPr txBox="1"/>
                            <wps:spPr>
                              <a:xfrm>
                                <a:off x="0" y="0"/>
                                <a:ext cx="537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16205" cy="175260"/>
                      <wp:effectExtent l="0" t="0" r="0" b="0"/>
                      <wp:wrapNone/>
                      <wp:docPr id="345" name="Frame344"/>
                      <a:graphic xmlns:a="http://schemas.openxmlformats.org/drawingml/2006/main">
                        <a:graphicData uri="http://schemas.microsoft.com/office/word/2010/wordprocessingShape">
                          <wps:wsp>
                            <wps:cNvSpPr txBox="1"/>
                            <wps:spPr>
                              <a:xfrm>
                                <a:off x="0" y="0"/>
                                <a:ext cx="116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21665" cy="175260"/>
                      <wp:effectExtent l="0" t="0" r="0" b="0"/>
                      <wp:wrapNone/>
                      <wp:docPr id="346" name="Frame345"/>
                      <a:graphic xmlns:a="http://schemas.openxmlformats.org/drawingml/2006/main">
                        <a:graphicData uri="http://schemas.microsoft.com/office/word/2010/wordprocessingShape">
                          <wps:wsp>
                            <wps:cNvSpPr txBox="1"/>
                            <wps:spPr>
                              <a:xfrm>
                                <a:off x="0" y="0"/>
                                <a:ext cx="621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0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91"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    </w:t>
            </w:r>
          </w:p>
        </w:tc>
        <w:tc>
          <w:tcPr>
            <w:tcW w:w="84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83" w:type="dxa"/>
            <w:tcBorders/>
            <w:shd w:fill="auto" w:val="clear"/>
            <w:vAlign w:val="center"/>
          </w:tcPr>
          <w:p>
            <w:pPr>
              <w:pStyle w:val="TableContents"/>
              <w:spacing w:before="0" w:after="0"/>
              <w:ind w:left="0" w:right="0" w:hanging="0"/>
              <w:jc w:val="center"/>
              <w:rPr/>
            </w:pPr>
            <w:r>
              <w:rPr/>
              <w:t>​</w:t>
            </w:r>
          </w:p>
        </w:tc>
        <w:tc>
          <w:tcPr>
            <w:tcW w:w="97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spacing w:before="0" w:after="0"/>
              <w:ind w:left="0" w:right="0" w:hanging="0"/>
              <w:rPr/>
            </w:pPr>
            <w:r>
              <w:rPr/>
              <w:t> </w:t>
            </w:r>
          </w:p>
        </w:tc>
        <w:tc>
          <w:tcPr>
            <w:tcW w:w="8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10,424</w:t>
            </w:r>
          </w:p>
        </w:tc>
        <w:tc>
          <w:tcPr>
            <w:tcW w:w="183" w:type="dxa"/>
            <w:tcBorders/>
            <w:shd w:fill="CCEEFF" w:val="clear"/>
            <w:vAlign w:val="center"/>
          </w:tcPr>
          <w:p>
            <w:pPr>
              <w:pStyle w:val="TableContents"/>
              <w:spacing w:before="0" w:after="0"/>
              <w:ind w:left="0" w:right="0" w:hanging="0"/>
              <w:rPr/>
            </w:pPr>
            <w:r>
              <w:rPr/>
              <w:t> </w:t>
            </w:r>
          </w:p>
        </w:tc>
        <w:tc>
          <w:tcPr>
            <w:tcW w:w="9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10,050</w:t>
            </w:r>
          </w:p>
        </w:tc>
      </w:tr>
      <w:tr>
        <w:trPr/>
        <w:tc>
          <w:tcPr>
            <w:tcW w:w="30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8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54,458</w:t>
            </w:r>
          </w:p>
        </w:tc>
        <w:tc>
          <w:tcPr>
            <w:tcW w:w="183" w:type="dxa"/>
            <w:tcBorders/>
            <w:shd w:fill="auto" w:val="clear"/>
            <w:vAlign w:val="center"/>
          </w:tcPr>
          <w:p>
            <w:pPr>
              <w:pStyle w:val="TableContents"/>
              <w:spacing w:before="0" w:after="0"/>
              <w:ind w:left="0" w:right="0" w:hanging="0"/>
              <w:rPr/>
            </w:pPr>
            <w:r>
              <w:rPr/>
              <w:t> </w:t>
            </w:r>
          </w:p>
        </w:tc>
        <w:tc>
          <w:tcPr>
            <w:tcW w:w="9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48,850</w:t>
            </w:r>
          </w:p>
        </w:tc>
      </w:tr>
      <w:tr>
        <w:trPr/>
        <w:tc>
          <w:tcPr>
            <w:tcW w:w="30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8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18,246</w:t>
            </w:r>
          </w:p>
        </w:tc>
        <w:tc>
          <w:tcPr>
            <w:tcW w:w="183" w:type="dxa"/>
            <w:tcBorders/>
            <w:shd w:fill="CCEEFF" w:val="clear"/>
            <w:vAlign w:val="center"/>
          </w:tcPr>
          <w:p>
            <w:pPr>
              <w:pStyle w:val="TableContents"/>
              <w:spacing w:before="0" w:after="0"/>
              <w:ind w:left="0" w:right="0" w:hanging="0"/>
              <w:rPr/>
            </w:pPr>
            <w:r>
              <w:rPr/>
              <w:t> </w:t>
            </w:r>
          </w:p>
        </w:tc>
        <w:tc>
          <w:tcPr>
            <w:tcW w:w="9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24,258</w:t>
            </w:r>
          </w:p>
        </w:tc>
      </w:tr>
      <w:tr>
        <w:trPr/>
        <w:tc>
          <w:tcPr>
            <w:tcW w:w="30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Selling expenses</w:t>
            </w:r>
          </w:p>
        </w:tc>
        <w:tc>
          <w:tcPr>
            <w:tcW w:w="326" w:type="dxa"/>
            <w:tcBorders/>
            <w:shd w:fill="auto" w:val="clear"/>
            <w:vAlign w:val="center"/>
          </w:tcPr>
          <w:p>
            <w:pPr>
              <w:pStyle w:val="TableContents"/>
              <w:spacing w:before="0" w:after="0"/>
              <w:ind w:left="0" w:right="0" w:hanging="0"/>
              <w:rPr/>
            </w:pPr>
            <w:r>
              <w:rPr/>
              <w:t> </w:t>
            </w:r>
          </w:p>
        </w:tc>
        <w:tc>
          <w:tcPr>
            <w:tcW w:w="8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5,227</w:t>
            </w:r>
          </w:p>
        </w:tc>
        <w:tc>
          <w:tcPr>
            <w:tcW w:w="183" w:type="dxa"/>
            <w:tcBorders/>
            <w:shd w:fill="auto" w:val="clear"/>
            <w:vAlign w:val="center"/>
          </w:tcPr>
          <w:p>
            <w:pPr>
              <w:pStyle w:val="TableContents"/>
              <w:spacing w:before="0" w:after="0"/>
              <w:ind w:left="0" w:right="0" w:hanging="0"/>
              <w:rPr/>
            </w:pPr>
            <w:r>
              <w:rPr/>
              <w:t> </w:t>
            </w:r>
          </w:p>
        </w:tc>
        <w:tc>
          <w:tcPr>
            <w:tcW w:w="9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7,490</w:t>
            </w:r>
          </w:p>
        </w:tc>
      </w:tr>
      <w:tr>
        <w:trPr/>
        <w:tc>
          <w:tcPr>
            <w:tcW w:w="309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8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88,355</w:t>
            </w:r>
          </w:p>
        </w:tc>
        <w:tc>
          <w:tcPr>
            <w:tcW w:w="183" w:type="dxa"/>
            <w:tcBorders/>
            <w:shd w:fill="CCEEFF" w:val="clear"/>
            <w:vAlign w:val="center"/>
          </w:tcPr>
          <w:p>
            <w:pPr>
              <w:pStyle w:val="TableContents"/>
              <w:spacing w:before="0" w:after="0"/>
              <w:ind w:left="0" w:right="0" w:hanging="0"/>
              <w:rPr/>
            </w:pPr>
            <w:r>
              <w:rPr/>
              <w:t> </w:t>
            </w:r>
          </w:p>
        </w:tc>
        <w:tc>
          <w:tcPr>
            <w:tcW w:w="97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90,648</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fair value of the share awards is estimated at the grant date using the binomial model with the assistance of an independent valuation specialist. The following table provides the inputs to the model used for determining the value of the grant for the years ended December 31, 2021 and 2022:</w:t>
      </w:r>
    </w:p>
    <w:p>
      <w:pPr>
        <w:pStyle w:val="TextBody"/>
        <w:spacing w:before="0" w:after="0"/>
        <w:ind w:left="0" w:right="0" w:hanging="0"/>
        <w:rPr/>
      </w:pPr>
      <w:r>
        <w:rPr/>
        <w:t>​</w:t>
      </w:r>
    </w:p>
    <w:tbl>
      <w:tblPr>
        <w:tblW w:w="6271" w:type="dxa"/>
        <w:jc w:val="left"/>
        <w:tblInd w:w="0" w:type="dxa"/>
        <w:tblCellMar>
          <w:top w:w="0" w:type="dxa"/>
          <w:left w:w="0" w:type="dxa"/>
          <w:bottom w:w="0" w:type="dxa"/>
          <w:right w:w="0" w:type="dxa"/>
        </w:tblCellMar>
      </w:tblPr>
      <w:tblGrid>
        <w:gridCol w:w="2176"/>
        <w:gridCol w:w="326"/>
        <w:gridCol w:w="1426"/>
        <w:gridCol w:w="361"/>
        <w:gridCol w:w="1666"/>
        <w:gridCol w:w="316"/>
      </w:tblGrid>
      <w:tr>
        <w:trPr/>
        <w:tc>
          <w:tcPr>
            <w:tcW w:w="2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81760" cy="175260"/>
                      <wp:effectExtent l="0" t="0" r="0" b="0"/>
                      <wp:wrapNone/>
                      <wp:docPr id="347" name="Frame346"/>
                      <a:graphic xmlns:a="http://schemas.openxmlformats.org/drawingml/2006/main">
                        <a:graphicData uri="http://schemas.microsoft.com/office/word/2010/wordprocessingShape">
                          <wps:wsp>
                            <wps:cNvSpPr txBox="1"/>
                            <wps:spPr>
                              <a:xfrm>
                                <a:off x="0" y="0"/>
                                <a:ext cx="1381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905510" cy="175260"/>
                      <wp:effectExtent l="0" t="0" r="0" b="0"/>
                      <wp:wrapNone/>
                      <wp:docPr id="349" name="Frame348"/>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29235" cy="175260"/>
                      <wp:effectExtent l="0" t="0" r="0" b="0"/>
                      <wp:wrapNone/>
                      <wp:docPr id="350" name="Frame34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057910" cy="175260"/>
                      <wp:effectExtent l="0" t="0" r="0" b="0"/>
                      <wp:wrapNone/>
                      <wp:docPr id="351" name="Frame350"/>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0660" cy="175260"/>
                      <wp:effectExtent l="0" t="0" r="0" b="0"/>
                      <wp:wrapNone/>
                      <wp:docPr id="352" name="Frame35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August 1, 2021</w:t>
            </w:r>
          </w:p>
        </w:tc>
        <w:tc>
          <w:tcPr>
            <w:tcW w:w="361" w:type="dxa"/>
            <w:tcBorders/>
            <w:shd w:fill="auto" w:val="clear"/>
            <w:vAlign w:val="center"/>
          </w:tcPr>
          <w:p>
            <w:pPr>
              <w:pStyle w:val="TableContents"/>
              <w:spacing w:before="0" w:after="0"/>
              <w:ind w:left="0" w:right="0" w:hanging="0"/>
              <w:rPr/>
            </w:pPr>
            <w:r>
              <w:rPr/>
              <w:t>    </w:t>
            </w:r>
          </w:p>
        </w:tc>
        <w:tc>
          <w:tcPr>
            <w:tcW w:w="16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November 1, 2021</w:t>
            </w:r>
          </w:p>
        </w:tc>
        <w:tc>
          <w:tcPr>
            <w:tcW w:w="316" w:type="dxa"/>
            <w:tcBorders/>
            <w:shd w:fill="auto" w:val="clear"/>
            <w:vAlign w:val="center"/>
          </w:tcPr>
          <w:p>
            <w:pPr>
              <w:pStyle w:val="TableContents"/>
              <w:spacing w:before="0" w:after="0"/>
              <w:ind w:left="0" w:right="0" w:hanging="0"/>
              <w:jc w:val="center"/>
              <w:rPr/>
            </w:pPr>
            <w:r>
              <w:rPr/>
              <w:t> </w:t>
            </w:r>
          </w:p>
        </w:tc>
      </w:tr>
      <w:tr>
        <w:trPr/>
        <w:tc>
          <w:tcPr>
            <w:tcW w:w="21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Dividend yield (%)</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66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21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volatility (%)</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6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130.23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Risk-free interest rate (%)</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6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Exercise multiple</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2.20-2.80</w:t>
            </w:r>
          </w:p>
        </w:tc>
        <w:tc>
          <w:tcPr>
            <w:tcW w:w="361" w:type="dxa"/>
            <w:tcBorders/>
            <w:shd w:fill="auto" w:val="clear"/>
            <w:vAlign w:val="center"/>
          </w:tcPr>
          <w:p>
            <w:pPr>
              <w:pStyle w:val="TableContents"/>
              <w:spacing w:before="0" w:after="0"/>
              <w:ind w:left="0" w:right="0" w:hanging="0"/>
              <w:rPr/>
            </w:pPr>
            <w:r>
              <w:rPr/>
              <w:t> </w:t>
            </w:r>
          </w:p>
        </w:tc>
        <w:tc>
          <w:tcPr>
            <w:tcW w:w="16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9470" w:type="dxa"/>
        <w:jc w:val="left"/>
        <w:tblInd w:w="0" w:type="dxa"/>
        <w:tblCellMar>
          <w:top w:w="0" w:type="dxa"/>
          <w:left w:w="0" w:type="dxa"/>
          <w:bottom w:w="0" w:type="dxa"/>
          <w:right w:w="0" w:type="dxa"/>
        </w:tblCellMar>
      </w:tblPr>
      <w:tblGrid>
        <w:gridCol w:w="2176"/>
        <w:gridCol w:w="326"/>
        <w:gridCol w:w="1531"/>
        <w:gridCol w:w="361"/>
        <w:gridCol w:w="1291"/>
        <w:gridCol w:w="361"/>
        <w:gridCol w:w="1231"/>
        <w:gridCol w:w="361"/>
        <w:gridCol w:w="1516"/>
        <w:gridCol w:w="316"/>
      </w:tblGrid>
      <w:tr>
        <w:trPr/>
        <w:tc>
          <w:tcPr>
            <w:tcW w:w="2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81760" cy="175260"/>
                      <wp:effectExtent l="0" t="0" r="0" b="0"/>
                      <wp:wrapNone/>
                      <wp:docPr id="353" name="Frame352"/>
                      <a:graphic xmlns:a="http://schemas.openxmlformats.org/drawingml/2006/main">
                        <a:graphicData uri="http://schemas.microsoft.com/office/word/2010/wordprocessingShape">
                          <wps:wsp>
                            <wps:cNvSpPr txBox="1"/>
                            <wps:spPr>
                              <a:xfrm>
                                <a:off x="0" y="0"/>
                                <a:ext cx="1381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972185" cy="175260"/>
                      <wp:effectExtent l="0" t="0" r="0" b="0"/>
                      <wp:wrapNone/>
                      <wp:docPr id="355" name="Frame354"/>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29235" cy="175260"/>
                      <wp:effectExtent l="0" t="0" r="0" b="0"/>
                      <wp:wrapNone/>
                      <wp:docPr id="356" name="Frame35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819785" cy="175260"/>
                      <wp:effectExtent l="0" t="0" r="0" b="0"/>
                      <wp:wrapNone/>
                      <wp:docPr id="357" name="Frame356"/>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29235" cy="175260"/>
                      <wp:effectExtent l="0" t="0" r="0" b="0"/>
                      <wp:wrapNone/>
                      <wp:docPr id="358" name="Frame35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81685" cy="175260"/>
                      <wp:effectExtent l="0" t="0" r="0" b="0"/>
                      <wp:wrapNone/>
                      <wp:docPr id="359" name="Frame358"/>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29235" cy="175260"/>
                      <wp:effectExtent l="0" t="0" r="0" b="0"/>
                      <wp:wrapNone/>
                      <wp:docPr id="360" name="Frame35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962660" cy="175260"/>
                      <wp:effectExtent l="0" t="0" r="0" b="0"/>
                      <wp:wrapNone/>
                      <wp:docPr id="361" name="Frame360"/>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0660" cy="175260"/>
                      <wp:effectExtent l="0" t="0" r="0" b="0"/>
                      <wp:wrapNone/>
                      <wp:docPr id="362" name="Frame36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January 1, 2022</w:t>
            </w:r>
          </w:p>
        </w:tc>
        <w:tc>
          <w:tcPr>
            <w:tcW w:w="361"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April 1, 2022</w:t>
            </w:r>
          </w:p>
        </w:tc>
        <w:tc>
          <w:tcPr>
            <w:tcW w:w="361" w:type="dxa"/>
            <w:tcBorders/>
            <w:shd w:fill="auto" w:val="clear"/>
            <w:vAlign w:val="center"/>
          </w:tcPr>
          <w:p>
            <w:pPr>
              <w:pStyle w:val="TableContents"/>
              <w:spacing w:before="0" w:after="0"/>
              <w:ind w:left="0" w:right="0" w:hanging="0"/>
              <w:rPr/>
            </w:pPr>
            <w:r>
              <w:rPr/>
              <w:t>    </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July 1, 2022</w:t>
            </w:r>
          </w:p>
        </w:tc>
        <w:tc>
          <w:tcPr>
            <w:tcW w:w="361" w:type="dxa"/>
            <w:tcBorders/>
            <w:shd w:fill="auto" w:val="clear"/>
            <w:vAlign w:val="center"/>
          </w:tcPr>
          <w:p>
            <w:pPr>
              <w:pStyle w:val="TableContents"/>
              <w:spacing w:before="0" w:after="0"/>
              <w:ind w:left="0" w:right="0" w:hanging="0"/>
              <w:rPr/>
            </w:pPr>
            <w:r>
              <w:rPr/>
              <w:t>    </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October 1, 2022</w:t>
            </w:r>
          </w:p>
        </w:tc>
        <w:tc>
          <w:tcPr>
            <w:tcW w:w="316" w:type="dxa"/>
            <w:tcBorders/>
            <w:shd w:fill="auto" w:val="clear"/>
            <w:vAlign w:val="center"/>
          </w:tcPr>
          <w:p>
            <w:pPr>
              <w:pStyle w:val="TableContents"/>
              <w:spacing w:before="0" w:after="0"/>
              <w:ind w:left="0" w:right="0" w:hanging="0"/>
              <w:jc w:val="center"/>
              <w:rPr/>
            </w:pPr>
            <w:r>
              <w:rPr/>
              <w:t> </w:t>
            </w:r>
          </w:p>
        </w:tc>
      </w:tr>
      <w:tr>
        <w:trPr/>
        <w:tc>
          <w:tcPr>
            <w:tcW w:w="21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Dividend yield (%)</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51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21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volatility (%)</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Risk-free interest rate (%)</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Exercise multiple</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2.20-2.80</w:t>
            </w:r>
          </w:p>
        </w:tc>
        <w:tc>
          <w:tcPr>
            <w:tcW w:w="361"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61"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61" w:type="dxa"/>
            <w:tcBorders/>
            <w:shd w:fill="auto" w:val="clear"/>
            <w:vAlign w:val="center"/>
          </w:tcPr>
          <w:p>
            <w:pPr>
              <w:pStyle w:val="TableContents"/>
              <w:spacing w:before="0" w:after="0"/>
              <w:ind w:left="0" w:right="0" w:hanging="0"/>
              <w:rPr/>
            </w:pPr>
            <w:r>
              <w:rPr/>
              <w:t> </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above inputs for the binomial model have been determined based on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Dividend return is estimated by reference to the Group’s plan to distribute dividends in the near future. Currently, this is estimated to be zero</w:t>
            </w:r>
            <w:r>
              <w:rPr>
                <w:caps w:val="false"/>
                <w:smallCaps w:val="false"/>
              </w:rPr>
              <w:t xml:space="preserve"> </w:t>
            </w:r>
            <w:r>
              <w:rPr>
                <w:rFonts w:ascii="Times New Roman;Times;serif" w:hAnsi="Times New Roman;Times;serif"/>
                <w:b w:val="false"/>
                <w:i w:val="false"/>
                <w:caps w:val="false"/>
                <w:smallCaps w:val="false"/>
                <w:sz w:val="20"/>
              </w:rPr>
              <w:t>as the Group plans to retain all profit for corporate expansion;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is estimated based on the daily close price volatility of a number of comparable companies to the Group;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is based on the yield to maturity of U.S. treasury bills denominated in US$ at the option valuation date;</w:t>
            </w:r>
          </w:p>
        </w:tc>
      </w:tr>
    </w:tbl>
    <w:tbl>
      <w:tblPr>
        <w:tblW w:w="7791" w:type="dxa"/>
        <w:jc w:val="left"/>
        <w:tblInd w:w="0" w:type="dxa"/>
        <w:tblCellMar>
          <w:top w:w="28" w:type="dxa"/>
          <w:left w:w="28" w:type="dxa"/>
          <w:bottom w:w="28" w:type="dxa"/>
          <w:right w:w="28" w:type="dxa"/>
        </w:tblCellMar>
      </w:tblPr>
      <w:tblGrid>
        <w:gridCol w:w="124"/>
        <w:gridCol w:w="256"/>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multiple is based on empirical research on typical share award exercise behavior.</w:t>
            </w:r>
          </w:p>
        </w:tc>
      </w:tr>
    </w:tbl>
    <w:p>
      <w:pPr>
        <w:pStyle w:val="TextBody"/>
        <w:pBdr/>
        <w:spacing w:before="0" w:after="0"/>
        <w:ind w:left="360" w:right="0" w:hanging="360"/>
        <w:jc w:val="both"/>
        <w:rPr/>
      </w:pPr>
      <w:r>
        <w:rPr/>
        <w:t>​</w:t>
      </w:r>
    </w:p>
    <w:p>
      <w:pPr>
        <w:pStyle w:val="TextBody"/>
        <w:spacing w:before="0" w:after="240"/>
        <w:ind w:left="0" w:right="0" w:hanging="0"/>
        <w:rPr>
          <w:rFonts w:ascii="Times New Roman;Times;serif" w:hAnsi="Times New Roman;Times;serif"/>
          <w:b/>
          <w:sz w:val="20"/>
        </w:rPr>
      </w:pPr>
      <w:bookmarkStart w:id="1698" w:name="Tc_5zRrDie8GUK-pWsxPbTuyA_6_0"/>
      <w:bookmarkStart w:id="1699" w:name="Tc_hGlVsPV5gkisABaTKGAB1w_5_0"/>
      <w:bookmarkStart w:id="1700" w:name="Tc_dc9QPJ1M0UOanScVgsD-OA_4_0"/>
      <w:bookmarkStart w:id="1701" w:name="Tc_knx39ZjjJUyAWBpDaTrQAw_3_0"/>
      <w:bookmarkStart w:id="1702" w:name="Tc_rUb5YKX5cEaGg1TUaT0ZHQ_2_12"/>
      <w:bookmarkStart w:id="1703" w:name="Tc_iD4f8ZCxFEmEeKONK1KvPw_2_10"/>
      <w:bookmarkStart w:id="1704" w:name="Tc_vMyJ5rq0-U6VMgUqGHJzlg_2_8"/>
      <w:bookmarkStart w:id="1705" w:name="Tc_YlZjL06F30q_ohQc7q09hw_2_6"/>
      <w:bookmarkStart w:id="1706" w:name="Tc_mbfBuwaeMk-vrK47uOwxQg_2_4"/>
      <w:bookmarkStart w:id="1707" w:name="Tc_Joc2hEeX6UqN4s_-uZjzeA_2_2"/>
      <w:bookmarkStart w:id="1708" w:name="Tc_ArrPpNMvTEW_edtWrdFa0Q_1_12"/>
      <w:bookmarkStart w:id="1709" w:name="Tc_AgBYLPAKAESeLtNdYTlvNA_1_10"/>
      <w:bookmarkStart w:id="1710" w:name="Tc_jQuM8PJtiEuXAgkz6yrixg_1_8"/>
      <w:bookmarkStart w:id="1711" w:name="Tc_bshEgf3tpUybap6HT6lMpA_1_6"/>
      <w:bookmarkStart w:id="1712" w:name="Tc_0vQAHuYiK0SZLvYd5hdH3Q_1_4"/>
      <w:bookmarkStart w:id="1713" w:name="Tc_vdT2HML0D0urgcq7RhF0Pw_1_2"/>
      <w:bookmarkStart w:id="1714" w:name="_cc30cab0_61be_49f9_a43f_93c67de0ffa8"/>
      <w:bookmarkStart w:id="1715" w:name="Tc_RQe3U2vK20mmK3JHeJuMVQ_7_0"/>
      <w:bookmarkStart w:id="1716" w:name="Tc_NUzrQg-tKka7xiyUyeFuXg_6_0"/>
      <w:bookmarkStart w:id="1717" w:name="Tc_83QJE_kfh06zbhOnfC-TQA_5_0"/>
      <w:bookmarkStart w:id="1718" w:name="Tc_0zZxVRJw40-lfMdFotsRVQ_4_8"/>
      <w:bookmarkStart w:id="1719" w:name="Tc_9XsiBtM5mkKfZ86MTpindw_4_6"/>
      <w:bookmarkStart w:id="1720" w:name="Tc_ns5e2MCvh0SmcDE0EqyZDA_4_0"/>
      <w:bookmarkStart w:id="1721" w:name="Tc_MZKAvegv2ka6WApOAbNI7A_3_0"/>
      <w:bookmarkStart w:id="1722" w:name="Tc_1spjdY5QCEmqXBJQ139QVA_2_8"/>
      <w:bookmarkStart w:id="1723" w:name="Tc_TdjUrwBtR0GQ3h-fSDKS7Q_2_6"/>
      <w:bookmarkStart w:id="1724" w:name="Tc_FT6fEaK690yGUFKfi4Jxuw_2_4"/>
      <w:bookmarkStart w:id="1725" w:name="Tc_Kn56ychyKk-vfTVARBDEmg_2_2"/>
      <w:bookmarkStart w:id="1726" w:name="Tc_Fc9jzNiWckyDLuYiAwpK_w_1_8"/>
      <w:bookmarkStart w:id="1727" w:name="Tc_o_S1LrLaLEOk0VIC0c5K2Q_1_6"/>
      <w:bookmarkStart w:id="1728" w:name="Tc_XjazRAzyoUiO0GYVxi7TPw_1_4"/>
      <w:bookmarkStart w:id="1729" w:name="Tc_D-2puwiNCUKyZyyhrn2-dw_1_2"/>
      <w:bookmarkStart w:id="1730" w:name="_e8002289_76a7_4e22_9b77_0bc4a8bfa951"/>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r>
        <w:rPr>
          <w:rFonts w:ascii="Times New Roman;Times;serif" w:hAnsi="Times New Roman;Times;serif"/>
          <w:b/>
          <w:i w:val="false"/>
          <w:caps w:val="false"/>
          <w:smallCaps w:val="false"/>
          <w:sz w:val="20"/>
        </w:rPr>
        <w:t>18.</w:t>
      </w:r>
      <w:r>
        <w:rPr>
          <w:rFonts w:ascii="Times New Roman;Times;serif" w:hAnsi="Times New Roman;Times;serif"/>
          <w:b/>
          <w:sz w:val="20"/>
        </w:rPr>
        <w:t>EQUITY</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Invested capital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were prepared in accordance with principles described in Note 2. No share capital is presented for the 2020 historical periods. Invested capital is derived by aggregating the net assets of the Bitdeer Business’s direct and indirect subsidiaries and the net assets of the Bitdeer business activities conducted in direct and indirect subsidiaries of Bitmain as well as BTC. Invested capital also includes changes in reserve due to the effect of foreign currency translation adjustments and capital funding. For the year ended December 31, 2021, invested capital includes the net assets of the activities Bitdeer Business conducted in direct and indirect subsidiaries of Bitmain between January 1, 2021 and January 26, 2021, as well as BTC between January 1, 2021 and April 15, 2021. The balance of invested capital was reclassified to other reserve upon completion of the Reorganization.</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Issued share capital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authorized share capital of the Group is US$50,000 divided into: (i) 497,354,466,516 ordinary shares with a par value of US$0.0000001 each, (ii) 461,033,549 Series A preferred shares with a par value of US$0.0000001 each, (iii) 870,232,230 Series B preferred shares with a par value of US$0.0000001 each, and (iv)1,314,267,705 Series B+ preferred shares with a par value of US$0.0000001 each.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2021, The Group divided the 497,354,466,516 ordinary shares into (i) 491,722,670,897 Class A ordinary shares, each with a par value of US$0.0000001 and 1 vote on all matters in any shareholders meeting of the Group and (ii) 5,631,795,619 Class B ordinary shares, each with a par value of US$0.0000001 and 10 votes on all matters in any shareholders meeting of the Group. All issued and outstanding Series A, Series B and Series B+ preferred shares remain the same and unchanged. In connection with the division of ordinary shares, the Group redesignated the 5,631,795,619 ordinary shares held by Victory Courage Limited, an entity controlled by the Chairman of the Board of Directors of the Group, as Class B ordinary shares, and the remaining outstanding ordinary shares held by various shareholders as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Each share of Class A ordinary shares, Series A preferred shares, Series B preferred shares and Series B+ preferred shares is granted 1 vote and each share of Class B ordinary shares is granted 10 votes. All classes of shares are entitled to dividend and rank pari passu except for voting rights.</w:t>
      </w:r>
    </w:p>
    <w:p>
      <w:pPr>
        <w:pStyle w:val="TextBody"/>
        <w:spacing w:before="0" w:after="0"/>
        <w:ind w:left="0" w:right="0" w:hanging="0"/>
        <w:rPr/>
      </w:pPr>
      <w:r>
        <w:rPr/>
        <w:t>​</w:t>
      </w:r>
    </w:p>
    <w:tbl>
      <w:tblPr>
        <w:tblW w:w="10024" w:type="dxa"/>
        <w:jc w:val="left"/>
        <w:tblInd w:w="0" w:type="dxa"/>
        <w:tblCellMar>
          <w:top w:w="0" w:type="dxa"/>
          <w:left w:w="0" w:type="dxa"/>
          <w:bottom w:w="0" w:type="dxa"/>
          <w:right w:w="0" w:type="dxa"/>
        </w:tblCellMar>
      </w:tblPr>
      <w:tblGrid>
        <w:gridCol w:w="4561"/>
        <w:gridCol w:w="326"/>
        <w:gridCol w:w="1411"/>
        <w:gridCol w:w="326"/>
        <w:gridCol w:w="691"/>
        <w:gridCol w:w="326"/>
        <w:gridCol w:w="1321"/>
        <w:gridCol w:w="326"/>
        <w:gridCol w:w="736"/>
      </w:tblGrid>
      <w:tr>
        <w:trPr/>
        <w:tc>
          <w:tcPr>
            <w:tcW w:w="4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896235" cy="175260"/>
                      <wp:effectExtent l="0" t="0" r="0" b="0"/>
                      <wp:wrapNone/>
                      <wp:docPr id="363" name="Frame362"/>
                      <a:graphic xmlns:a="http://schemas.openxmlformats.org/drawingml/2006/main">
                        <a:graphicData uri="http://schemas.microsoft.com/office/word/2010/wordprocessingShape">
                          <wps:wsp>
                            <wps:cNvSpPr txBox="1"/>
                            <wps:spPr>
                              <a:xfrm>
                                <a:off x="0" y="0"/>
                                <a:ext cx="2896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895985" cy="175260"/>
                      <wp:effectExtent l="0" t="0" r="0" b="0"/>
                      <wp:wrapNone/>
                      <wp:docPr id="365" name="Frame364"/>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38785" cy="175260"/>
                      <wp:effectExtent l="0" t="0" r="0" b="0"/>
                      <wp:wrapNone/>
                      <wp:docPr id="367" name="Frame36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38835" cy="175260"/>
                      <wp:effectExtent l="0" t="0" r="0" b="0"/>
                      <wp:wrapNone/>
                      <wp:docPr id="369" name="Frame368"/>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67360" cy="175260"/>
                      <wp:effectExtent l="0" t="0" r="0" b="0"/>
                      <wp:wrapNone/>
                      <wp:docPr id="371" name="Frame37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 </w:t>
            </w:r>
          </w:p>
        </w:tc>
        <w:tc>
          <w:tcPr>
            <w:tcW w:w="326" w:type="dxa"/>
            <w:tcBorders/>
            <w:shd w:fill="auto" w:val="clear"/>
            <w:vAlign w:val="center"/>
          </w:tcPr>
          <w:p>
            <w:pPr>
              <w:pStyle w:val="TableContents"/>
              <w:spacing w:before="0" w:after="1"/>
              <w:ind w:left="0" w:right="0" w:hanging="0"/>
              <w:jc w:val="center"/>
              <w:rPr/>
            </w:pPr>
            <w:r>
              <w:rPr/>
              <w:t>    </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USD</w:t>
            </w:r>
          </w:p>
        </w:tc>
        <w:tc>
          <w:tcPr>
            <w:tcW w:w="326" w:type="dxa"/>
            <w:tcBorders/>
            <w:shd w:fill="auto" w:val="clear"/>
            <w:vAlign w:val="center"/>
          </w:tcPr>
          <w:p>
            <w:pPr>
              <w:pStyle w:val="TableContents"/>
              <w:spacing w:before="0" w:after="1"/>
              <w:ind w:left="0" w:right="0" w:hanging="0"/>
              <w:jc w:val="center"/>
              <w:rPr/>
            </w:pPr>
            <w:r>
              <w:rPr/>
              <w:t>​</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USD</w:t>
            </w:r>
          </w:p>
        </w:tc>
      </w:tr>
      <w:tr>
        <w:trPr/>
        <w:tc>
          <w:tcPr>
            <w:tcW w:w="4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At January 1, 2021, shares issued and outstanding</w:t>
            </w:r>
          </w:p>
        </w:tc>
        <w:tc>
          <w:tcPr>
            <w:tcW w:w="326" w:type="dxa"/>
            <w:tcBorders/>
            <w:shd w:fill="CCEEFF" w:val="clear"/>
            <w:vAlign w:val="center"/>
          </w:tcPr>
          <w:p>
            <w:pPr>
              <w:pStyle w:val="TableContents"/>
              <w:spacing w:before="0" w:after="1"/>
              <w:ind w:left="0" w:right="0" w:hanging="0"/>
              <w:rPr/>
            </w:pPr>
            <w:r>
              <w:rPr/>
              <w:t> </w:t>
            </w:r>
          </w:p>
        </w:tc>
        <w:tc>
          <w:tcPr>
            <w:tcW w:w="14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4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Share allotment upon Reorganization </w:t>
            </w:r>
          </w:p>
        </w:tc>
        <w:tc>
          <w:tcPr>
            <w:tcW w:w="326" w:type="dxa"/>
            <w:tcBorders/>
            <w:shd w:fill="auto" w:val="clear"/>
            <w:vAlign w:val="center"/>
          </w:tcPr>
          <w:p>
            <w:pPr>
              <w:pStyle w:val="TableContents"/>
              <w:spacing w:before="0" w:after="1"/>
              <w:ind w:left="0" w:right="0" w:hanging="0"/>
              <w:rPr/>
            </w:pPr>
            <w:r>
              <w:rPr/>
              <w:t> </w:t>
            </w:r>
          </w:p>
        </w:tc>
        <w:tc>
          <w:tcPr>
            <w:tcW w:w="14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10,016,592,322</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auto" w:val="clear"/>
            <w:vAlign w:val="center"/>
          </w:tcPr>
          <w:p>
            <w:pPr>
              <w:pStyle w:val="TableContents"/>
              <w:spacing w:before="0" w:after="1"/>
              <w:ind w:left="0" w:right="0" w:hanging="0"/>
              <w:rPr/>
            </w:pPr>
            <w:r>
              <w:rPr/>
              <w:t> </w:t>
            </w:r>
          </w:p>
        </w:tc>
        <w:tc>
          <w:tcPr>
            <w:tcW w:w="13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pPr>
            <w:r>
              <w:rPr/>
              <w:t>—</w:t>
            </w:r>
          </w:p>
        </w:tc>
      </w:tr>
      <w:tr>
        <w:trPr/>
        <w:tc>
          <w:tcPr>
            <w:tcW w:w="4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Redesignation of ordinary shares</w:t>
            </w:r>
          </w:p>
        </w:tc>
        <w:tc>
          <w:tcPr>
            <w:tcW w:w="326" w:type="dxa"/>
            <w:tcBorders/>
            <w:shd w:fill="CCEEFF" w:val="clear"/>
            <w:vAlign w:val="center"/>
          </w:tcPr>
          <w:p>
            <w:pPr>
              <w:pStyle w:val="TableContents"/>
              <w:spacing w:before="0" w:after="1"/>
              <w:ind w:left="0" w:right="0" w:hanging="0"/>
              <w:rPr/>
            </w:pPr>
            <w:r>
              <w:rPr/>
              <w:t> </w:t>
            </w:r>
          </w:p>
        </w:tc>
        <w:tc>
          <w:tcPr>
            <w:tcW w:w="14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(5,631,795,619)</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shd w:fill="CCEEFF" w:val="clear"/>
            <w:vAlign w:val="center"/>
          </w:tcPr>
          <w:p>
            <w:pPr>
              <w:pStyle w:val="TableContents"/>
              <w:spacing w:before="0" w:after="1"/>
              <w:ind w:left="0" w:right="0" w:hanging="0"/>
              <w:rPr/>
            </w:pPr>
            <w:r>
              <w:rPr/>
              <w:t> </w:t>
            </w:r>
          </w:p>
        </w:tc>
        <w:tc>
          <w:tcPr>
            <w:tcW w:w="13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5,631,795,619</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45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At December 31, 2021, shares issued and outstanding</w:t>
            </w:r>
          </w:p>
        </w:tc>
        <w:tc>
          <w:tcPr>
            <w:tcW w:w="326" w:type="dxa"/>
            <w:tcBorders/>
            <w:shd w:fill="auto" w:val="clear"/>
            <w:vAlign w:val="center"/>
          </w:tcPr>
          <w:p>
            <w:pPr>
              <w:pStyle w:val="TableContents"/>
              <w:spacing w:before="0" w:after="1"/>
              <w:ind w:left="0" w:right="0" w:hanging="0"/>
              <w:rPr/>
            </w:pPr>
            <w:r>
              <w:rPr/>
              <w:t>​</w:t>
            </w:r>
          </w:p>
        </w:tc>
        <w:tc>
          <w:tcPr>
            <w:tcW w:w="14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4,384,796,703</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439</w:t>
            </w:r>
          </w:p>
        </w:tc>
        <w:tc>
          <w:tcPr>
            <w:tcW w:w="326" w:type="dxa"/>
            <w:tcBorders/>
            <w:shd w:fill="auto" w:val="clear"/>
            <w:vAlign w:val="center"/>
          </w:tcPr>
          <w:p>
            <w:pPr>
              <w:pStyle w:val="TableContents"/>
              <w:spacing w:before="0" w:after="1"/>
              <w:ind w:left="0" w:right="0" w:hanging="0"/>
              <w:rPr/>
            </w:pPr>
            <w:r>
              <w:rPr/>
              <w:t>​</w:t>
            </w:r>
          </w:p>
        </w:tc>
        <w:tc>
          <w:tcPr>
            <w:tcW w:w="13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5,631,795,619</w:t>
            </w:r>
          </w:p>
        </w:tc>
        <w:tc>
          <w:tcPr>
            <w:tcW w:w="326" w:type="dxa"/>
            <w:tcBorders/>
            <w:shd w:fill="auto" w:val="clear"/>
            <w:vAlign w:val="center"/>
          </w:tcPr>
          <w:p>
            <w:pPr>
              <w:pStyle w:val="TableContents"/>
              <w:spacing w:before="0" w:after="1"/>
              <w:ind w:left="0" w:right="0" w:hanging="0"/>
              <w:rPr/>
            </w:pPr>
            <w:r>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563</w:t>
            </w:r>
          </w:p>
        </w:tc>
      </w:tr>
      <w:tr>
        <w:trPr/>
        <w:tc>
          <w:tcPr>
            <w:tcW w:w="456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At December 31, 2022, shares issued and outstanding</w:t>
            </w:r>
          </w:p>
        </w:tc>
        <w:tc>
          <w:tcPr>
            <w:tcW w:w="326" w:type="dxa"/>
            <w:tcBorders/>
            <w:shd w:fill="CCEEFF" w:val="clear"/>
            <w:vAlign w:val="center"/>
          </w:tcPr>
          <w:p>
            <w:pPr>
              <w:pStyle w:val="TableContents"/>
              <w:spacing w:before="0" w:after="1"/>
              <w:ind w:left="0" w:right="0" w:hanging="0"/>
              <w:rPr/>
            </w:pPr>
            <w:r>
              <w:rPr/>
              <w:t> </w:t>
            </w:r>
          </w:p>
        </w:tc>
        <w:tc>
          <w:tcPr>
            <w:tcW w:w="14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4,384,796,703</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439</w:t>
            </w:r>
          </w:p>
        </w:tc>
        <w:tc>
          <w:tcPr>
            <w:tcW w:w="326" w:type="dxa"/>
            <w:tcBorders/>
            <w:shd w:fill="CCEEFF" w:val="clear"/>
            <w:vAlign w:val="center"/>
          </w:tcPr>
          <w:p>
            <w:pPr>
              <w:pStyle w:val="TableContents"/>
              <w:spacing w:before="0" w:after="1"/>
              <w:ind w:left="0" w:right="0" w:hanging="0"/>
              <w:rPr/>
            </w:pPr>
            <w:r>
              <w:rPr/>
              <w:t> </w:t>
            </w:r>
          </w:p>
        </w:tc>
        <w:tc>
          <w:tcPr>
            <w:tcW w:w="13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5,631,795,619</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563</w:t>
            </w:r>
          </w:p>
        </w:tc>
      </w:tr>
    </w:tbl>
    <w:p>
      <w:pPr>
        <w:pStyle w:val="TextBody"/>
        <w:spacing w:before="0" w:after="240"/>
        <w:ind w:left="0" w:right="0" w:firstLine="360"/>
        <w:jc w:val="both"/>
        <w:rPr/>
      </w:pPr>
      <w:r>
        <w:rPr/>
        <w:t>​</w:t>
      </w:r>
    </w:p>
    <w:tbl>
      <w:tblPr>
        <w:tblW w:w="10205" w:type="dxa"/>
        <w:jc w:val="left"/>
        <w:tblInd w:w="0" w:type="dxa"/>
        <w:tblCellMar>
          <w:top w:w="0" w:type="dxa"/>
          <w:left w:w="0" w:type="dxa"/>
          <w:bottom w:w="0" w:type="dxa"/>
          <w:right w:w="0" w:type="dxa"/>
        </w:tblCellMar>
      </w:tblPr>
      <w:tblGrid>
        <w:gridCol w:w="2123"/>
        <w:gridCol w:w="326"/>
        <w:gridCol w:w="1336"/>
        <w:gridCol w:w="326"/>
        <w:gridCol w:w="691"/>
        <w:gridCol w:w="326"/>
        <w:gridCol w:w="1336"/>
        <w:gridCol w:w="326"/>
        <w:gridCol w:w="691"/>
        <w:gridCol w:w="326"/>
        <w:gridCol w:w="1336"/>
        <w:gridCol w:w="326"/>
        <w:gridCol w:w="736"/>
      </w:tblGrid>
      <w:tr>
        <w:trPr/>
        <w:tc>
          <w:tcPr>
            <w:tcW w:w="212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r>
      <w:tr>
        <w:trPr/>
        <w:tc>
          <w:tcPr>
            <w:tcW w:w="212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A </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 </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w:t>
            </w:r>
          </w:p>
        </w:tc>
        <w:tc>
          <w:tcPr>
            <w:tcW w:w="326" w:type="dxa"/>
            <w:tcBorders/>
            <w:shd w:fill="auto" w:val="clear"/>
            <w:vAlign w:val="center"/>
          </w:tcPr>
          <w:p>
            <w:pPr>
              <w:pStyle w:val="TableContents"/>
              <w:spacing w:before="0" w:after="1"/>
              <w:ind w:left="0" w:right="0" w:hanging="0"/>
              <w:jc w:val="center"/>
              <w:rPr/>
            </w:pPr>
            <w:r>
              <w:rPr/>
              <w:t>    </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2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USD</w:t>
            </w:r>
          </w:p>
        </w:tc>
        <w:tc>
          <w:tcPr>
            <w:tcW w:w="326" w:type="dxa"/>
            <w:tcBorders/>
            <w:shd w:fill="auto" w:val="clear"/>
            <w:vAlign w:val="center"/>
          </w:tcPr>
          <w:p>
            <w:pPr>
              <w:pStyle w:val="TableContents"/>
              <w:spacing w:before="0" w:after="1"/>
              <w:ind w:left="0" w:right="0" w:hanging="0"/>
              <w:jc w:val="center"/>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Shares</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USD</w:t>
            </w:r>
          </w:p>
        </w:tc>
        <w:tc>
          <w:tcPr>
            <w:tcW w:w="326" w:type="dxa"/>
            <w:tcBorders/>
            <w:shd w:fill="auto" w:val="clear"/>
            <w:vAlign w:val="center"/>
          </w:tcPr>
          <w:p>
            <w:pPr>
              <w:pStyle w:val="TableContents"/>
              <w:spacing w:before="0" w:after="1"/>
              <w:ind w:left="0" w:right="0" w:hanging="0"/>
              <w:jc w:val="center"/>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Shares</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USD</w:t>
            </w:r>
          </w:p>
        </w:tc>
      </w:tr>
      <w:tr>
        <w:trPr/>
        <w:tc>
          <w:tcPr>
            <w:tcW w:w="212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At January 1, 2021, shares issued and outstanding</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212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Share allotment upon Reorganization </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461,033,549</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870,232,230</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1,314,267,705</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212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At December 31, 2021, shares issued and outstanding</w:t>
            </w:r>
          </w:p>
        </w:tc>
        <w:tc>
          <w:tcPr>
            <w:tcW w:w="326" w:type="dxa"/>
            <w:tcBorders/>
            <w:shd w:fill="CCEEFF" w:val="clear"/>
            <w:vAlign w:val="center"/>
          </w:tcPr>
          <w:p>
            <w:pPr>
              <w:pStyle w:val="TableContents"/>
              <w:spacing w:before="0" w:after="1"/>
              <w:ind w:left="0" w:right="0" w:hanging="0"/>
              <w:rPr/>
            </w:pPr>
            <w:r>
              <w:rPr/>
              <w:t>​</w:t>
            </w:r>
          </w:p>
        </w:tc>
        <w:tc>
          <w:tcPr>
            <w:tcW w:w="13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461,033,549</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26" w:type="dxa"/>
            <w:tcBorders/>
            <w:shd w:fill="CCEEFF" w:val="clear"/>
            <w:vAlign w:val="center"/>
          </w:tcPr>
          <w:p>
            <w:pPr>
              <w:pStyle w:val="TableContents"/>
              <w:spacing w:before="0" w:after="1"/>
              <w:ind w:left="0" w:right="0" w:hanging="0"/>
              <w:rPr/>
            </w:pPr>
            <w:r>
              <w:rPr/>
              <w:t>​</w:t>
            </w:r>
          </w:p>
        </w:tc>
        <w:tc>
          <w:tcPr>
            <w:tcW w:w="13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870,232,230</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87</w:t>
            </w:r>
          </w:p>
        </w:tc>
        <w:tc>
          <w:tcPr>
            <w:tcW w:w="326" w:type="dxa"/>
            <w:tcBorders/>
            <w:shd w:fill="CCEEFF" w:val="clear"/>
            <w:vAlign w:val="center"/>
          </w:tcPr>
          <w:p>
            <w:pPr>
              <w:pStyle w:val="TableContents"/>
              <w:spacing w:before="0" w:after="1"/>
              <w:ind w:left="0" w:right="0" w:hanging="0"/>
              <w:rPr/>
            </w:pPr>
            <w:r>
              <w:rPr/>
              <w:t>​</w:t>
            </w:r>
          </w:p>
        </w:tc>
        <w:tc>
          <w:tcPr>
            <w:tcW w:w="13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1,314,267,705</w:t>
            </w:r>
          </w:p>
        </w:tc>
        <w:tc>
          <w:tcPr>
            <w:tcW w:w="326" w:type="dxa"/>
            <w:tcBorders/>
            <w:shd w:fill="CCEEFF" w:val="clear"/>
            <w:vAlign w:val="center"/>
          </w:tcPr>
          <w:p>
            <w:pPr>
              <w:pStyle w:val="TableContents"/>
              <w:spacing w:before="0" w:after="1"/>
              <w:ind w:left="0" w:right="0" w:hanging="0"/>
              <w:rPr/>
            </w:pPr>
            <w:r>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131</w:t>
            </w:r>
          </w:p>
        </w:tc>
      </w:tr>
      <w:tr>
        <w:trPr/>
        <w:tc>
          <w:tcPr>
            <w:tcW w:w="212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At December 31, 2022, shares issued and outstanding</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461,033,549</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870,232,230</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87</w:t>
            </w:r>
          </w:p>
        </w:tc>
        <w:tc>
          <w:tcPr>
            <w:tcW w:w="326" w:type="dxa"/>
            <w:tcBorders/>
            <w:shd w:fill="auto" w:val="clear"/>
            <w:vAlign w:val="center"/>
          </w:tcPr>
          <w:p>
            <w:pPr>
              <w:pStyle w:val="TableContents"/>
              <w:spacing w:before="0" w:after="1"/>
              <w:ind w:left="0" w:right="0" w:hanging="0"/>
              <w:rPr/>
            </w:pPr>
            <w:r>
              <w:rPr/>
              <w:t> </w:t>
            </w:r>
          </w:p>
        </w:tc>
        <w:tc>
          <w:tcPr>
            <w:tcW w:w="13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1,314,267,705</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131</w:t>
            </w:r>
          </w:p>
        </w:tc>
      </w:tr>
    </w:tbl>
    <w:p>
      <w:pPr>
        <w:pStyle w:val="TextBody"/>
        <w:spacing w:before="0" w:after="240"/>
        <w:ind w:left="0" w:right="0" w:firstLine="360"/>
        <w:jc w:val="both"/>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shares allotted to shareholders pursuant to the Reorganization were charged to reserve.</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Retained earnings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retained earnings include the result of the Group’s operations for the years ended December 31, 2021 and 2022 excluding the activities Bitdeer Business conducted in direct and indirect subsidiaries of Bitmain and BTC, which were included in invested capital as discussed above.</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Reserves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reserves include the following:</w:t>
      </w:r>
    </w:p>
    <w:tbl>
      <w:tblPr>
        <w:tblW w:w="10205" w:type="dxa"/>
        <w:jc w:val="left"/>
        <w:tblInd w:w="0" w:type="dxa"/>
        <w:tblCellMar>
          <w:top w:w="0" w:type="dxa"/>
          <w:left w:w="0" w:type="dxa"/>
          <w:bottom w:w="0" w:type="dxa"/>
          <w:right w:w="0" w:type="dxa"/>
        </w:tblCellMar>
      </w:tblPr>
      <w:tblGrid>
        <w:gridCol w:w="124"/>
        <w:gridCol w:w="244"/>
        <w:gridCol w:w="9837"/>
      </w:tblGrid>
      <w:tr>
        <w:trPr/>
        <w:tc>
          <w:tcPr>
            <w:tcW w:w="12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w:t>
            </w:r>
          </w:p>
        </w:tc>
        <w:tc>
          <w:tcPr>
            <w:tcW w:w="983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Share premium, which effectively represents the share subscription amount paid over the par value of the shares. The application of the share premium account is governed by Section 34 of the Companies Law, Cap. 22 (Law 3 of 1961, as consolidated and revised) of the Cayman Islands as amended, supplemented or otherwise modified from time to time.</w:t>
            </w:r>
          </w:p>
        </w:tc>
      </w:tr>
    </w:tbl>
    <w:tbl>
      <w:tblPr>
        <w:tblW w:w="6171" w:type="dxa"/>
        <w:jc w:val="left"/>
        <w:tblInd w:w="0" w:type="dxa"/>
        <w:tblCellMar>
          <w:top w:w="0" w:type="dxa"/>
          <w:left w:w="0" w:type="dxa"/>
          <w:bottom w:w="0" w:type="dxa"/>
          <w:right w:w="0" w:type="dxa"/>
        </w:tblCellMar>
      </w:tblPr>
      <w:tblGrid>
        <w:gridCol w:w="124"/>
        <w:gridCol w:w="346"/>
        <w:gridCol w:w="5701"/>
      </w:tblGrid>
      <w:tr>
        <w:trPr/>
        <w:tc>
          <w:tcPr>
            <w:tcW w:w="1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(ii)</w:t>
            </w:r>
          </w:p>
        </w:tc>
        <w:tc>
          <w:tcPr>
            <w:tcW w:w="570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Invested capital reclassified upon completion of the Reorganization.</w:t>
            </w:r>
          </w:p>
        </w:tc>
      </w:tr>
    </w:tbl>
    <w:tbl>
      <w:tblPr>
        <w:tblW w:w="10205" w:type="dxa"/>
        <w:jc w:val="left"/>
        <w:tblInd w:w="0" w:type="dxa"/>
        <w:tblCellMar>
          <w:top w:w="0" w:type="dxa"/>
          <w:left w:w="0" w:type="dxa"/>
          <w:bottom w:w="0" w:type="dxa"/>
          <w:right w:w="0" w:type="dxa"/>
        </w:tblCellMar>
      </w:tblPr>
      <w:tblGrid>
        <w:gridCol w:w="124"/>
        <w:gridCol w:w="369"/>
        <w:gridCol w:w="9712"/>
      </w:tblGrid>
      <w:tr>
        <w:trPr/>
        <w:tc>
          <w:tcPr>
            <w:tcW w:w="12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(iii)</w:t>
            </w:r>
          </w:p>
        </w:tc>
        <w:tc>
          <w:tcPr>
            <w:tcW w:w="97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foreign exchange differences arising from the translation of the financial statements of foreign operations, excluding the effects resulting from the activities the Bitdeer Business conducted in direct and indirect subsidiaries of Bitmain and BTC, which were included in invested capital.</w:t>
            </w:r>
          </w:p>
        </w:tc>
      </w:tr>
    </w:tbl>
    <w:tbl>
      <w:tblPr>
        <w:tblW w:w="8376" w:type="dxa"/>
        <w:jc w:val="left"/>
        <w:tblInd w:w="0" w:type="dxa"/>
        <w:tblCellMar>
          <w:top w:w="0" w:type="dxa"/>
          <w:left w:w="0" w:type="dxa"/>
          <w:bottom w:w="0" w:type="dxa"/>
          <w:right w:w="0" w:type="dxa"/>
        </w:tblCellMar>
      </w:tblPr>
      <w:tblGrid>
        <w:gridCol w:w="124"/>
        <w:gridCol w:w="391"/>
        <w:gridCol w:w="7861"/>
      </w:tblGrid>
      <w:tr>
        <w:trPr/>
        <w:tc>
          <w:tcPr>
            <w:tcW w:w="1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(iv)</w:t>
            </w:r>
          </w:p>
        </w:tc>
        <w:tc>
          <w:tcPr>
            <w:tcW w:w="786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value of the conversion option of the equity component embedded in the convertible debt.</w:t>
            </w:r>
          </w:p>
        </w:tc>
      </w:tr>
    </w:tbl>
    <w:tbl>
      <w:tblPr>
        <w:tblW w:w="4566" w:type="dxa"/>
        <w:jc w:val="left"/>
        <w:tblInd w:w="0" w:type="dxa"/>
        <w:tblCellMar>
          <w:top w:w="0" w:type="dxa"/>
          <w:left w:w="0" w:type="dxa"/>
          <w:bottom w:w="0" w:type="dxa"/>
          <w:right w:w="0" w:type="dxa"/>
        </w:tblCellMar>
      </w:tblPr>
      <w:tblGrid>
        <w:gridCol w:w="124"/>
        <w:gridCol w:w="331"/>
        <w:gridCol w:w="411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(v)</w:t>
            </w:r>
          </w:p>
        </w:tc>
        <w:tc>
          <w:tcPr>
            <w:tcW w:w="411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accumulated share-based payment expenses.</w:t>
            </w:r>
          </w:p>
        </w:tc>
      </w:tr>
    </w:tbl>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Capital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Group’s primary objective in terms of managing capital is to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safeguard the Group’s ability to continue as a going concern, so that it can continue to provide returns for shareholders and benefits for other stakeholders, mainly by pricing products and services commensurate with the level of risk.</w:t>
            </w:r>
          </w:p>
        </w:tc>
      </w:tr>
    </w:tbl>
    <w:tbl>
      <w:tblPr>
        <w:tblW w:w="4086" w:type="dxa"/>
        <w:jc w:val="left"/>
        <w:tblInd w:w="0" w:type="dxa"/>
        <w:tblCellMar>
          <w:top w:w="28" w:type="dxa"/>
          <w:left w:w="28" w:type="dxa"/>
          <w:bottom w:w="28" w:type="dxa"/>
          <w:right w:w="28" w:type="dxa"/>
        </w:tblCellMar>
      </w:tblPr>
      <w:tblGrid>
        <w:gridCol w:w="124"/>
        <w:gridCol w:w="256"/>
        <w:gridCol w:w="3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the Group’s stability and growth</w:t>
            </w:r>
          </w:p>
        </w:tc>
      </w:tr>
    </w:tbl>
    <w:tbl>
      <w:tblPr>
        <w:tblW w:w="7956" w:type="dxa"/>
        <w:jc w:val="left"/>
        <w:tblInd w:w="0" w:type="dxa"/>
        <w:tblCellMar>
          <w:top w:w="28" w:type="dxa"/>
          <w:left w:w="28" w:type="dxa"/>
          <w:bottom w:w="28" w:type="dxa"/>
          <w:right w:w="28" w:type="dxa"/>
        </w:tblCellMar>
      </w:tblPr>
      <w:tblGrid>
        <w:gridCol w:w="124"/>
        <w:gridCol w:w="256"/>
        <w:gridCol w:w="75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capital for the purpose of strengthening the Group’s risk management capability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business and financial condition are highly correlated with the market price of cryptocurrencies. For the years ended December 31, 2020, 2021 and 2022, the Group’s revenue is substantially generated from cryptocurrency-related operations. The Group has adopted various measures to minimize the risk associated with the fluctuation in the market price of cryptocurrencies, specifically, the Group has implemented an internal strategy requiring prompt conversion of all the cryptocurrencies received from ordinary operations into fiat currencies.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maintain or adjust the capital structure, the Group reviews and manages its capital structure actively and regularly to ensure optimal capital structure and shareholder returns, taking into account the future capital requirements of the Group and capital efficiency, prevailing and projected profitability, projected operating cash flows, projected capital expenditures and projected strategic investment opportunities.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is not subject to externally imposed capital requirements.</w:t>
      </w:r>
    </w:p>
    <w:p>
      <w:pPr>
        <w:pStyle w:val="TextBody"/>
        <w:spacing w:before="0" w:after="0"/>
        <w:ind w:left="0" w:right="0" w:hanging="0"/>
        <w:rPr/>
      </w:pPr>
      <w:r>
        <w:rPr/>
        <w:t>​</w:t>
      </w:r>
    </w:p>
    <w:p>
      <w:pPr>
        <w:pStyle w:val="TextBody"/>
        <w:spacing w:before="0" w:after="240"/>
        <w:ind w:left="0" w:right="0" w:firstLine="360"/>
        <w:jc w:val="both"/>
        <w:rPr/>
      </w:pPr>
      <w:r>
        <w:rPr/>
        <w:t>​</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b/>
          <w:sz w:val="20"/>
        </w:rPr>
      </w:pPr>
      <w:bookmarkStart w:id="1731" w:name="Tc_Zfh2BJ8cKkehT7ue8IgJfw_15_0"/>
      <w:bookmarkStart w:id="1732" w:name="Tc_x3kfp21xKku-ffgVBAsr6g_13_0"/>
      <w:bookmarkStart w:id="1733" w:name="Tc_qOYoWwUBhEy5RaLYApgg-g_12_2"/>
      <w:bookmarkStart w:id="1734" w:name="Tc_fx_5gMKIyU2HConbR80zcg_12_0"/>
      <w:bookmarkStart w:id="1735" w:name="Tc_00ml1p_jZUOOiyP0YzKG0A_11_0"/>
      <w:bookmarkStart w:id="1736" w:name="Tc_fbijQQ7QNEmlJ6yE29uL9g_10_0"/>
      <w:bookmarkStart w:id="1737" w:name="Tc_H-rpHTYbB0ubdZbiYmgFDg_9_0"/>
      <w:bookmarkStart w:id="1738" w:name="Tc_Wv9n_5S0zEWkk-rOQ2zNgg_8_2"/>
      <w:bookmarkStart w:id="1739" w:name="Tc_ZLVFhvnE5Em1ti1Ew1tpyA_8_0"/>
      <w:bookmarkStart w:id="1740" w:name="Tc_ybiVMS6RSEWN6xs9A55dIQ_7_0"/>
      <w:bookmarkStart w:id="1741" w:name="Tc_05gmMz8-x0-ybW_y1VQ8Zw_6_0"/>
      <w:bookmarkStart w:id="1742" w:name="Tc_fOqmxSCCkkWHAMMXrwo7yw_5_2"/>
      <w:bookmarkStart w:id="1743" w:name="Tc_UYrvhJQ4V0mIZg6kQL5_9A_5_0"/>
      <w:bookmarkStart w:id="1744" w:name="Tc_HKGz93ke90ymT-tcow5tCA_4_0"/>
      <w:bookmarkStart w:id="1745" w:name="Tc_TxVDNypgU06YtsdxV1s6Xw_3_0"/>
      <w:bookmarkStart w:id="1746" w:name="Tc_Ul3Zh_Ry90SNxBeB_t9opg_2_4"/>
      <w:bookmarkStart w:id="1747" w:name="Tc_WIxg3A48Hkqv5zssOumUxQ_2_2"/>
      <w:bookmarkStart w:id="1748" w:name="Tc_b-7qpOGKZ0aTDVzNsl42Bg_2_0"/>
      <w:bookmarkStart w:id="1749" w:name="Tc_IdNnILloRUOxbTyEaSYq2Q_1_2"/>
      <w:bookmarkStart w:id="1750" w:name="Tc_5_Xvz8qmCkWtYS3eQYx1DQ_10_7"/>
      <w:bookmarkStart w:id="1751" w:name="Tc_RGNzB0EL70WAMoJlz2fLvg_10_5"/>
      <w:bookmarkStart w:id="1752" w:name="Tc_pWghVfjAcUG67oehyNg-Xg_10_3"/>
      <w:bookmarkStart w:id="1753" w:name="Tc_gKjxOkfR8E6FZZjtErq24w_10_0"/>
      <w:bookmarkStart w:id="1754" w:name="Tc_oRuDGjgLREulkG2JXxhC0Q_9_7"/>
      <w:bookmarkStart w:id="1755" w:name="Tc_u0jbEV_Aw0K0_UHPGoCpQA_9_5"/>
      <w:bookmarkStart w:id="1756" w:name="Tc_MwHIC4_WoE2RfTn1Ya4IZw_9_3"/>
      <w:bookmarkStart w:id="1757" w:name="Tc_-S7ZI02dfkOcoGALR5YpKw_9_0"/>
      <w:bookmarkStart w:id="1758" w:name="Tc_hZmA4CXtoU-47APMMuzBmA_8_6"/>
      <w:bookmarkStart w:id="1759" w:name="Tc_ORhigdBfaE-1EjhbOi8FMQ_8_5"/>
      <w:bookmarkStart w:id="1760" w:name="Tc_LpjLWOXdUEWz1s3gWzyxtg_8_3"/>
      <w:bookmarkStart w:id="1761" w:name="Tc_EuX9gDpjfUiWHPsBIzqzUQ_8_0"/>
      <w:bookmarkStart w:id="1762" w:name="Tc_SVHiVsjmL0Gr1_FVRYLdvw_7_7"/>
      <w:bookmarkStart w:id="1763" w:name="Tc_aBgLzZO65kS-dq4eYbh9tw_7_5"/>
      <w:bookmarkStart w:id="1764" w:name="Tc_qIJt7pEGI0mfi2WRB_oMrw_7_2"/>
      <w:bookmarkStart w:id="1765" w:name="Tc_wmFDhf2uEUeOMlzTyu7iAQ_7_0"/>
      <w:bookmarkStart w:id="1766" w:name="Tc_O3xI4L01ckmp9hG4rWOhvg_6_7"/>
      <w:bookmarkStart w:id="1767" w:name="Tc_B2Q2ky7BBkmenZNVeHxn-w_6_5"/>
      <w:bookmarkStart w:id="1768" w:name="Tc_fIEXSqQ3w06Y879k1vgO4Q_6_3"/>
      <w:bookmarkStart w:id="1769" w:name="Tc_n1j0hTKV0kyCpvKYR8xRjw_6_0"/>
      <w:bookmarkStart w:id="1770" w:name="Tc_jNewW2lD4kChwX6o2rFGJw_5_7"/>
      <w:bookmarkStart w:id="1771" w:name="Tc_CxPlxrLEo0ug_u-BAWeWqA_5_5"/>
      <w:bookmarkStart w:id="1772" w:name="Tc_TMZoYTGxdEypawgC15k6Lw_5_3"/>
      <w:bookmarkStart w:id="1773" w:name="Tc_KjaTG_zf0UyHYx-Ood9U1A_5_0"/>
      <w:bookmarkStart w:id="1774" w:name="Tc_x8LgBv_vOUKVcx3swvGFIA_4_7"/>
      <w:bookmarkStart w:id="1775" w:name="Tc_XKY47lUHuEaauAasn7wi9A_4_5"/>
      <w:bookmarkStart w:id="1776" w:name="Tc_43C-3hpak0WneIZCGuOF6A_4_3"/>
      <w:bookmarkStart w:id="1777" w:name="Tc_pYqCCJZC2Ue3HGmf5Taktw_4_0"/>
      <w:bookmarkStart w:id="1778" w:name="Tc_3zHQPZcNqECvdncgSzFPzA_3_7"/>
      <w:bookmarkStart w:id="1779" w:name="Tc_G3sp5eYeREmfLS9fgY1Hxw_3_5"/>
      <w:bookmarkStart w:id="1780" w:name="Tc_vdxKKEzK7Uu7RNdQOYh0_Q_3_3"/>
      <w:bookmarkStart w:id="1781" w:name="Tc_qwMIs8LEUUKKIZwMaPFzKA_3_0"/>
      <w:bookmarkStart w:id="1782" w:name="Tc_-AVoUH4Xy0mijbPf8i2uzQ_2_6"/>
      <w:bookmarkStart w:id="1783" w:name="Tc_pS7IgxjjxEK0RMdJFnN5Dw_2_4"/>
      <w:bookmarkStart w:id="1784" w:name="Tc_CQ7HycmA8UGIPrJAVXBrZQ_2_2"/>
      <w:bookmarkStart w:id="1785" w:name="Tc_P3edo1IE3UGfmc6bKc7ggA_1_2"/>
      <w:bookmarkStart w:id="1786" w:name="Tc_o4wZDiqVRUC_kfMFbarklA_5_0"/>
      <w:bookmarkStart w:id="1787" w:name="Tc_hc6FXoPR6UCKZIz3YrXDnA_4_0"/>
      <w:bookmarkStart w:id="1788" w:name="Tc_74a4rnYmPk6BZb0mwONKlg_3_0"/>
      <w:bookmarkStart w:id="1789" w:name="Tc_x-Lxkh0vOE-v1lDZUHYn-w_2_6"/>
      <w:bookmarkStart w:id="1790" w:name="Tc_K7oddibuZ0G7bj9jp-KK-g_2_4"/>
      <w:bookmarkStart w:id="1791" w:name="Tc_2XpjcJcVek6lrCwyQ3sOWw_2_2"/>
      <w:bookmarkStart w:id="1792" w:name="Tc_xSvdVX-HZEeJv3PPjvsn0A_2_0"/>
      <w:bookmarkStart w:id="1793" w:name="Tc_Dwv8eY4qSE2uo9ciKnxdjw_1_2"/>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r>
        <w:rPr>
          <w:rFonts w:ascii="Times New Roman;Times;serif" w:hAnsi="Times New Roman;Times;serif"/>
          <w:b/>
          <w:i w:val="false"/>
          <w:caps w:val="false"/>
          <w:smallCaps w:val="false"/>
          <w:sz w:val="20"/>
        </w:rPr>
        <w:t>19.</w:t>
      </w:r>
      <w:r>
        <w:rPr>
          <w:rFonts w:ascii="Times New Roman;Times;serif" w:hAnsi="Times New Roman;Times;serif"/>
          <w:b/>
          <w:sz w:val="20"/>
        </w:rPr>
        <w:t>TAXATION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subsidiaries of the Group incorporated in the Cayman Islands and British Virgin Islands (“BVI”) are not subject to tax on income or capital gain. In addition, payments of dividends by the Group to its shareholders are not subject to withholding tax in the Cayman Islands.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subsidiaries of the Group incorporated in other countries are subject to income tax pursuant to the rules and regulations of their respective countries of incorporation.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provisions for income taxes for the years ended December 31, 2020, 2021 and 2022 are summarized as follows:</w:t>
      </w:r>
    </w:p>
    <w:p>
      <w:pPr>
        <w:pStyle w:val="TextBody"/>
        <w:spacing w:before="0" w:after="0"/>
        <w:ind w:left="0" w:right="0" w:hanging="0"/>
        <w:rPr/>
      </w:pPr>
      <w:r>
        <w:rPr/>
        <w:t>​</w:t>
      </w:r>
    </w:p>
    <w:tbl>
      <w:tblPr>
        <w:tblW w:w="6240" w:type="dxa"/>
        <w:jc w:val="left"/>
        <w:tblInd w:w="0" w:type="dxa"/>
        <w:tblCellMar>
          <w:top w:w="0" w:type="dxa"/>
          <w:left w:w="0" w:type="dxa"/>
          <w:bottom w:w="0" w:type="dxa"/>
          <w:right w:w="0" w:type="dxa"/>
        </w:tblCellMar>
      </w:tblPr>
      <w:tblGrid>
        <w:gridCol w:w="3376"/>
        <w:gridCol w:w="326"/>
        <w:gridCol w:w="691"/>
        <w:gridCol w:w="109"/>
        <w:gridCol w:w="676"/>
        <w:gridCol w:w="326"/>
        <w:gridCol w:w="736"/>
      </w:tblGrid>
      <w:tr>
        <w:trPr/>
        <w:tc>
          <w:tcPr>
            <w:tcW w:w="3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43760" cy="175260"/>
                      <wp:effectExtent l="0" t="0" r="0" b="0"/>
                      <wp:wrapNone/>
                      <wp:docPr id="372" name="Frame371"/>
                      <a:graphic xmlns:a="http://schemas.openxmlformats.org/drawingml/2006/main">
                        <a:graphicData uri="http://schemas.microsoft.com/office/word/2010/wordprocessingShape">
                          <wps:wsp>
                            <wps:cNvSpPr txBox="1"/>
                            <wps:spPr>
                              <a:xfrm>
                                <a:off x="0" y="0"/>
                                <a:ext cx="2143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38785" cy="175260"/>
                      <wp:effectExtent l="0" t="0" r="0" b="0"/>
                      <wp:wrapNone/>
                      <wp:docPr id="374" name="Frame37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29260" cy="175260"/>
                      <wp:effectExtent l="0" t="0" r="0" b="0"/>
                      <wp:wrapNone/>
                      <wp:docPr id="376" name="Frame37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67360" cy="175260"/>
                      <wp:effectExtent l="0" t="0" r="0" b="0"/>
                      <wp:wrapNone/>
                      <wp:docPr id="378" name="Frame377"/>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3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37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7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Current income tax expenses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spacing w:before="0" w:after="1"/>
              <w:ind w:left="0" w:right="0" w:hanging="0"/>
              <w:jc w:val="right"/>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13,125</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(8,244)</w:t>
            </w:r>
          </w:p>
        </w:tc>
      </w:tr>
      <w:tr>
        <w:trPr/>
        <w:tc>
          <w:tcPr>
            <w:tcW w:w="337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income tax (benefit) / expenses</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(8,013)</w:t>
            </w:r>
          </w:p>
        </w:tc>
        <w:tc>
          <w:tcPr>
            <w:tcW w:w="109" w:type="dxa"/>
            <w:tcBorders/>
            <w:shd w:fill="auto" w:val="clear"/>
            <w:vAlign w:val="center"/>
          </w:tcPr>
          <w:p>
            <w:pPr>
              <w:pStyle w:val="TableContents"/>
              <w:spacing w:before="0" w:after="1"/>
              <w:ind w:left="0" w:right="0" w:hanging="0"/>
              <w:jc w:val="right"/>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35,121</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3,844</w:t>
            </w:r>
          </w:p>
        </w:tc>
      </w:tr>
      <w:tr>
        <w:trPr/>
        <w:tc>
          <w:tcPr>
            <w:tcW w:w="337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(7,961)</w:t>
            </w:r>
          </w:p>
        </w:tc>
        <w:tc>
          <w:tcPr>
            <w:tcW w:w="109" w:type="dxa"/>
            <w:tcBorders/>
            <w:shd w:fill="CCEEFF" w:val="clear"/>
            <w:vAlign w:val="center"/>
          </w:tcPr>
          <w:p>
            <w:pPr>
              <w:pStyle w:val="TableContents"/>
              <w:spacing w:before="0" w:after="1"/>
              <w:ind w:left="0" w:right="0" w:hanging="0"/>
              <w:jc w:val="right"/>
              <w:rPr/>
            </w:pPr>
            <w:r>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48,246</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(4,400)</w:t>
            </w:r>
          </w:p>
        </w:tc>
      </w:tr>
    </w:tbl>
    <w:p>
      <w:pPr>
        <w:pStyle w:val="TextBody"/>
        <w:spacing w:before="0" w:after="24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reconciliation between the income tax benefit / (expenses) calculated by applying the applicable tax rate of 17% to the profit / (loss) before income tax and the net income tax benefit / (expenses) as shown in the statements of operations and comprehensive income / (loss) for the years ended December 31, 2020, 2021 and 2022 is as follows.</w:t>
      </w:r>
    </w:p>
    <w:p>
      <w:pPr>
        <w:pStyle w:val="TextBody"/>
        <w:spacing w:before="0" w:after="0"/>
        <w:ind w:left="0" w:right="0" w:hanging="0"/>
        <w:rPr/>
      </w:pPr>
      <w:r>
        <w:rPr/>
        <w:t>​</w:t>
      </w:r>
    </w:p>
    <w:tbl>
      <w:tblPr>
        <w:tblW w:w="8448" w:type="dxa"/>
        <w:jc w:val="left"/>
        <w:tblInd w:w="0" w:type="dxa"/>
        <w:tblCellMar>
          <w:top w:w="0" w:type="dxa"/>
          <w:left w:w="0" w:type="dxa"/>
          <w:bottom w:w="0" w:type="dxa"/>
          <w:right w:w="0" w:type="dxa"/>
        </w:tblCellMar>
      </w:tblPr>
      <w:tblGrid>
        <w:gridCol w:w="5221"/>
        <w:gridCol w:w="326"/>
        <w:gridCol w:w="586"/>
        <w:gridCol w:w="361"/>
        <w:gridCol w:w="586"/>
        <w:gridCol w:w="361"/>
        <w:gridCol w:w="691"/>
        <w:gridCol w:w="316"/>
      </w:tblGrid>
      <w:tr>
        <w:trPr/>
        <w:tc>
          <w:tcPr>
            <w:tcW w:w="5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315335" cy="175260"/>
                      <wp:effectExtent l="0" t="0" r="0" b="0"/>
                      <wp:wrapNone/>
                      <wp:docPr id="379" name="Frame378"/>
                      <a:graphic xmlns:a="http://schemas.openxmlformats.org/drawingml/2006/main">
                        <a:graphicData uri="http://schemas.microsoft.com/office/word/2010/wordprocessingShape">
                          <wps:wsp>
                            <wps:cNvSpPr txBox="1"/>
                            <wps:spPr>
                              <a:xfrm>
                                <a:off x="0" y="0"/>
                                <a:ext cx="3315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72110" cy="175260"/>
                      <wp:effectExtent l="0" t="0" r="0" b="0"/>
                      <wp:wrapNone/>
                      <wp:docPr id="381" name="Frame38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29235" cy="175260"/>
                      <wp:effectExtent l="0" t="0" r="0" b="0"/>
                      <wp:wrapNone/>
                      <wp:docPr id="382" name="Frame38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72110" cy="175260"/>
                      <wp:effectExtent l="0" t="0" r="0" b="0"/>
                      <wp:wrapNone/>
                      <wp:docPr id="383" name="Frame382"/>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29235" cy="175260"/>
                      <wp:effectExtent l="0" t="0" r="0" b="0"/>
                      <wp:wrapNone/>
                      <wp:docPr id="384" name="Frame38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38785" cy="175260"/>
                      <wp:effectExtent l="0" t="0" r="0" b="0"/>
                      <wp:wrapNone/>
                      <wp:docPr id="385" name="Frame38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0660" cy="175260"/>
                      <wp:effectExtent l="0" t="0" r="0" b="0"/>
                      <wp:wrapNone/>
                      <wp:docPr id="386" name="Frame38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2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5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Years ended December 31, </w:t>
            </w:r>
          </w:p>
        </w:tc>
        <w:tc>
          <w:tcPr>
            <w:tcW w:w="316" w:type="dxa"/>
            <w:tcBorders/>
            <w:shd w:fill="auto" w:val="clear"/>
            <w:vAlign w:val="center"/>
          </w:tcPr>
          <w:p>
            <w:pPr>
              <w:pStyle w:val="TableContents"/>
              <w:spacing w:before="0" w:after="1"/>
              <w:ind w:left="0" w:right="0" w:hanging="0"/>
              <w:jc w:val="center"/>
              <w:rPr>
                <w:color w:val="231F20"/>
              </w:rPr>
            </w:pPr>
            <w:r>
              <w:rPr>
                <w:color w:val="231F20"/>
              </w:rPr>
              <w:t> </w:t>
            </w:r>
          </w:p>
        </w:tc>
      </w:tr>
      <w:tr>
        <w:trPr/>
        <w:tc>
          <w:tcPr>
            <w:tcW w:w="522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61" w:type="dxa"/>
            <w:tcBorders/>
            <w:shd w:fill="auto" w:val="clear"/>
            <w:vAlign w:val="center"/>
          </w:tcPr>
          <w:p>
            <w:pPr>
              <w:pStyle w:val="TableContents"/>
              <w:spacing w:before="0" w:after="1"/>
              <w:ind w:left="0" w:right="0" w:hanging="0"/>
              <w:jc w:val="center"/>
              <w:rPr>
                <w:color w:val="231F20"/>
              </w:rPr>
            </w:pPr>
            <w:r>
              <w:rPr>
                <w:color w:val="231F20"/>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61" w:type="dxa"/>
            <w:tcBorders/>
            <w:shd w:fill="auto" w:val="clear"/>
            <w:vAlign w:val="center"/>
          </w:tcPr>
          <w:p>
            <w:pPr>
              <w:pStyle w:val="TableContents"/>
              <w:spacing w:before="0" w:after="1"/>
              <w:ind w:left="0" w:right="0" w:hanging="0"/>
              <w:jc w:val="center"/>
              <w:rPr>
                <w:color w:val="231F20"/>
              </w:rPr>
            </w:pPr>
            <w:r>
              <w:rPr>
                <w:color w:val="231F20"/>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16" w:type="dxa"/>
            <w:tcBorders/>
            <w:shd w:fill="auto" w:val="clear"/>
            <w:vAlign w:val="center"/>
          </w:tcPr>
          <w:p>
            <w:pPr>
              <w:pStyle w:val="TableContents"/>
              <w:spacing w:before="0" w:after="1"/>
              <w:ind w:left="0" w:right="0" w:hanging="0"/>
              <w:jc w:val="center"/>
              <w:rPr>
                <w:color w:val="231F20"/>
              </w:rPr>
            </w:pPr>
            <w:r>
              <w:rPr>
                <w:color w:val="231F20"/>
              </w:rPr>
              <w:t> </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Statutory income tax rate</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17.00</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17.00</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17.00</w:t>
            </w:r>
          </w:p>
        </w:tc>
        <w:tc>
          <w:tcPr>
            <w:tcW w:w="31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Effect of expenses not deductible for tax purpose</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11.99</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(22.71)</w:t>
            </w:r>
          </w:p>
        </w:tc>
        <w:tc>
          <w:tcPr>
            <w:tcW w:w="31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Effect of income tax difference under different tax jurisdictions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2.55</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5.64</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(4.03)</w:t>
            </w:r>
          </w:p>
        </w:tc>
        <w:tc>
          <w:tcPr>
            <w:tcW w:w="31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Effect of tax losses not recognized in deferred tax assets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(7.39)</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0.63</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0.75</w:t>
            </w:r>
          </w:p>
        </w:tc>
        <w:tc>
          <w:tcPr>
            <w:tcW w:w="31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Prior year true-ups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586" w:type="dxa"/>
            <w:tcBorders/>
            <w:shd w:fill="CCEEFF" w:val="clear"/>
            <w:vAlign w:val="center"/>
          </w:tcPr>
          <w:p>
            <w:pPr>
              <w:pStyle w:val="TableContents"/>
              <w:spacing w:before="0" w:after="1"/>
              <w:ind w:left="0" w:right="0" w:hanging="0"/>
              <w:jc w:val="right"/>
              <w:rPr>
                <w:color w:val="231F20"/>
              </w:rPr>
            </w:pPr>
            <w:r>
              <w:rPr>
                <w:color w:val="231F20"/>
              </w:rPr>
              <w:t>—</w:t>
            </w:r>
          </w:p>
        </w:tc>
        <w:tc>
          <w:tcPr>
            <w:tcW w:w="361" w:type="dxa"/>
            <w:tcBorders/>
            <w:shd w:fill="CCEEFF" w:val="clear"/>
            <w:vAlign w:val="center"/>
          </w:tcPr>
          <w:p>
            <w:pPr>
              <w:pStyle w:val="TableContents"/>
              <w:spacing w:before="0" w:after="1"/>
              <w:ind w:left="0" w:right="0" w:hanging="0"/>
              <w:rPr>
                <w:color w:val="231F20"/>
              </w:rPr>
            </w:pPr>
            <w:r>
              <w:rPr>
                <w:color w:val="231F20"/>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2.11</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16.05</w:t>
            </w:r>
          </w:p>
        </w:tc>
        <w:tc>
          <w:tcPr>
            <w:tcW w:w="31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Effect of non-taxable income</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0.50</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(0.60)</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shd w:fill="auto" w:val="clear"/>
            <w:vAlign w:val="center"/>
          </w:tcPr>
          <w:p>
            <w:pPr>
              <w:pStyle w:val="TableContents"/>
              <w:spacing w:before="0" w:after="1"/>
              <w:ind w:left="0" w:right="0" w:hanging="0"/>
              <w:jc w:val="right"/>
              <w:rPr>
                <w:color w:val="231F20"/>
              </w:rPr>
            </w:pPr>
            <w:r>
              <w:rPr>
                <w:color w:val="231F20"/>
              </w:rPr>
              <w:t>—</w:t>
            </w:r>
          </w:p>
        </w:tc>
        <w:tc>
          <w:tcPr>
            <w:tcW w:w="316" w:type="dxa"/>
            <w:tcBorders/>
            <w:shd w:fill="auto" w:val="clear"/>
            <w:vAlign w:val="center"/>
          </w:tcPr>
          <w:p>
            <w:pPr>
              <w:pStyle w:val="TableContents"/>
              <w:spacing w:before="0" w:after="1"/>
              <w:ind w:left="0" w:right="0" w:hanging="0"/>
              <w:rPr>
                <w:color w:val="231F20"/>
              </w:rPr>
            </w:pPr>
            <w:r>
              <w:rPr>
                <w:color w:val="231F20"/>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Others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0.17</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0.09</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w:t>
            </w:r>
          </w:p>
        </w:tc>
        <w:tc>
          <w:tcPr>
            <w:tcW w:w="31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12.48</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36.86</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6.79</w:t>
            </w:r>
          </w:p>
        </w:tc>
        <w:tc>
          <w:tcPr>
            <w:tcW w:w="31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spacing w:before="0" w:after="240"/>
        <w:ind w:left="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Deferred tax assets / (liabilities) as of December 31, 2021 and 2022 comprise the following:</w:t>
      </w:r>
    </w:p>
    <w:p>
      <w:pPr>
        <w:pStyle w:val="TextBody"/>
        <w:spacing w:before="0" w:after="0"/>
        <w:ind w:left="0" w:right="0" w:hanging="0"/>
        <w:rPr/>
      </w:pPr>
      <w:r>
        <w:rPr/>
        <w:t>​</w:t>
      </w:r>
    </w:p>
    <w:tbl>
      <w:tblPr>
        <w:tblW w:w="9325" w:type="dxa"/>
        <w:jc w:val="left"/>
        <w:tblInd w:w="0" w:type="dxa"/>
        <w:tblCellMar>
          <w:top w:w="0" w:type="dxa"/>
          <w:left w:w="0" w:type="dxa"/>
          <w:bottom w:w="0" w:type="dxa"/>
          <w:right w:w="0" w:type="dxa"/>
        </w:tblCellMar>
      </w:tblPr>
      <w:tblGrid>
        <w:gridCol w:w="7141"/>
        <w:gridCol w:w="326"/>
        <w:gridCol w:w="691"/>
        <w:gridCol w:w="326"/>
        <w:gridCol w:w="841"/>
      </w:tblGrid>
      <w:tr>
        <w:trPr/>
        <w:tc>
          <w:tcPr>
            <w:tcW w:w="7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534535" cy="175260"/>
                      <wp:effectExtent l="0" t="0" r="0" b="0"/>
                      <wp:wrapNone/>
                      <wp:docPr id="387" name="Frame386"/>
                      <a:graphic xmlns:a="http://schemas.openxmlformats.org/drawingml/2006/main">
                        <a:graphicData uri="http://schemas.microsoft.com/office/word/2010/wordprocessingShape">
                          <wps:wsp>
                            <wps:cNvSpPr txBox="1"/>
                            <wps:spPr>
                              <a:xfrm>
                                <a:off x="0" y="0"/>
                                <a:ext cx="453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38785" cy="175260"/>
                      <wp:effectExtent l="0" t="0" r="0" b="0"/>
                      <wp:wrapNone/>
                      <wp:docPr id="389" name="Frame38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34035" cy="175260"/>
                      <wp:effectExtent l="0" t="0" r="0" b="0"/>
                      <wp:wrapNone/>
                      <wp:docPr id="391" name="Frame39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5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714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  </w:t>
            </w:r>
          </w:p>
        </w:tc>
      </w:tr>
      <w:tr>
        <w:trPr/>
        <w:tc>
          <w:tcPr>
            <w:tcW w:w="7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operating losses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4,362</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4,324</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r>
      <w:tr>
        <w:trPr/>
        <w:tc>
          <w:tcPr>
            <w:tcW w:w="7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 and intangible assets</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7,529</w:t>
            </w:r>
          </w:p>
        </w:tc>
      </w:tr>
      <w:tr>
        <w:trPr/>
        <w:tc>
          <w:tcPr>
            <w:tcW w:w="7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Set-off of deferred tax positions relate to income taxes levied by the same tax authority</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4,857</w:t>
            </w:r>
          </w:p>
        </w:tc>
      </w:tr>
      <w:tr>
        <w:trPr/>
        <w:tc>
          <w:tcPr>
            <w:tcW w:w="7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  </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(7,547)</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(14,298)</w:t>
            </w:r>
          </w:p>
        </w:tc>
      </w:tr>
      <w:tr>
        <w:trPr/>
        <w:tc>
          <w:tcPr>
            <w:tcW w:w="71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Set-off of deferred tax positions relate to income taxes levied by the same tax authority</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(7,547)</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(11,626)</w:t>
            </w:r>
          </w:p>
        </w:tc>
      </w:tr>
      <w:tr>
        <w:trPr/>
        <w:tc>
          <w:tcPr>
            <w:tcW w:w="7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714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deferred tax assets / (liabilities)</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(2,925)</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(6,769)</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bookmarkStart w:id="1794" w:name="Tc_F9OEIYMii0uE90CfuQUC0A_7_0"/>
      <w:bookmarkStart w:id="1795" w:name="Tc_FGrxhIG_ZkSCbGUzmhvGPg_6_4"/>
      <w:bookmarkStart w:id="1796" w:name="Tc_WR7gt68eoEKttSpFnehAvA_6_0"/>
      <w:bookmarkStart w:id="1797" w:name="Tc_BxqWo-iY2kuXL1FYkF6_qw_5_4"/>
      <w:bookmarkStart w:id="1798" w:name="Tc_pnsRVeege0CTtZ_4uVPhZQ_5_0"/>
      <w:bookmarkStart w:id="1799" w:name="Tc_VjZiwhHIw0izUEg2Q-UTmw_4_4"/>
      <w:bookmarkStart w:id="1800" w:name="Tc_XkK9kVWHQkCdy8vRFVlDoQ_4_0"/>
      <w:bookmarkStart w:id="1801" w:name="Tc_OgPTINbVlU6No8tNy1jcAg_3_4"/>
      <w:bookmarkStart w:id="1802" w:name="Tc_wfBg9r4B002IY-2Z7umGpg_3_2"/>
      <w:bookmarkStart w:id="1803" w:name="Tc_fZOc4re5AUG1juzWz0U6Ew_3_0"/>
      <w:bookmarkStart w:id="1804" w:name="Tc_DXPwtiPEQ0KsG2-kuko-hQ_2_4"/>
      <w:bookmarkStart w:id="1805" w:name="Tc_czmsMXWiikeVmGtRIadAhg_2_2"/>
      <w:bookmarkStart w:id="1806" w:name="Tc_EyGmhYPuHkS81q1BQ_gpww_1_4"/>
      <w:bookmarkStart w:id="1807" w:name="Tc_y5nkOUd8KkWdOYGK43wh6A_7_6"/>
      <w:bookmarkStart w:id="1808" w:name="Tc_U4b-s5wdmE6kVVsYuK7KAw_7_0"/>
      <w:bookmarkStart w:id="1809" w:name="Tc_HYIHnHv1mE6HWHpLKVAETw_6_6"/>
      <w:bookmarkStart w:id="1810" w:name="Tc_wrCdWkQWyUmvQD4kbF6u5A_6_0"/>
      <w:bookmarkStart w:id="1811" w:name="Tc_FKgCBxYIv0ilC2JM_4vjTA_5_6"/>
      <w:bookmarkStart w:id="1812" w:name="Tc_bNx9YUFhJ0yGHTbM9-FvBg_5_2"/>
      <w:bookmarkStart w:id="1813" w:name="Tc_SS4ExQVB50OQ5IIyP1-HBQ_5_0"/>
      <w:bookmarkStart w:id="1814" w:name="Tc_bpxGshfCfESXdaBZP77Ceg_4_6"/>
      <w:bookmarkStart w:id="1815" w:name="Tc_K3Ef-473OUWIoX4zoEzvng_4_0"/>
      <w:bookmarkStart w:id="1816" w:name="Tc_z4UObGXf0UOHvo1-Zxm0lQ_3_8"/>
      <w:bookmarkStart w:id="1817" w:name="Tc_H_ta0ofqmkuxLj-vBjdBgw_3_6"/>
      <w:bookmarkStart w:id="1818" w:name="Tc_Sz3Eukid30aBpwNWlE6xTw_3_4"/>
      <w:bookmarkStart w:id="1819" w:name="Tc_mNrLUYeD_0uU6PkbXeF14w_3_2"/>
      <w:bookmarkStart w:id="1820" w:name="Tc__vMcqM9Vy067jeelGG-zcQ_3_0"/>
      <w:bookmarkStart w:id="1821" w:name="Tc_BC_WdmNcM0mQ7PU62lrz8g_2_8"/>
      <w:bookmarkStart w:id="1822" w:name="Tc_hhyvTLU8YU6XaoiJhoBzag_2_6"/>
      <w:bookmarkStart w:id="1823" w:name="Tc_hAXJg5vvSUSJVTnhH6dGkQ_2_4"/>
      <w:bookmarkStart w:id="1824" w:name="Tc_rf66ARzYhkqHg8Xc6YHSiw_2_2"/>
      <w:bookmarkStart w:id="1825" w:name="Tc_DiAAqKYFcEGato8UdJmSSQ_1_4"/>
      <w:bookmarkStart w:id="1826" w:name="_e65d3661_b3ae_4dd4_a4ed_839467d250eb"/>
      <w:bookmarkStart w:id="1827" w:name="Tc_9GxQ8qQR8UuqpOBOkRZNoA_6_0"/>
      <w:bookmarkStart w:id="1828" w:name="Tc_c6fAlCS9okO6V_kDy4q5sA_5_6"/>
      <w:bookmarkStart w:id="1829" w:name="Tc_LBBEw9EwgkqO07uzGzH6Nw_5_0"/>
      <w:bookmarkStart w:id="1830" w:name="Tc_sU_zsU9QckSOSjJ6Lg6PYA_4_8"/>
      <w:bookmarkStart w:id="1831" w:name="Tc_ufNA5Q6DRESMWrbH_s19oQ_4_6"/>
      <w:bookmarkStart w:id="1832" w:name="Tc_sZWOLoX9S0mD-c9jYAzdaA_4_0"/>
      <w:bookmarkStart w:id="1833" w:name="Tc_CqmygNHsqEapF7iEaHEXWQ_3_0"/>
      <w:bookmarkStart w:id="1834" w:name="Tc_ynIxbxtlWEygTv2kHf2UzQ_2_8"/>
      <w:bookmarkStart w:id="1835" w:name="Tc_5G__iKQ17U6deR0qA4lJjw_2_6"/>
      <w:bookmarkStart w:id="1836" w:name="Tc_ptKwFaaVx02pEYJCV0hOxA_2_4"/>
      <w:bookmarkStart w:id="1837" w:name="Tc_UHQduRM4aE2bquXgQfXRVQ_2_2"/>
      <w:bookmarkStart w:id="1838" w:name="Tc_GcRFEgVNI0SwTVRMKQ9ryw_2_0"/>
      <w:bookmarkStart w:id="1839" w:name="Tc_60YHlLVCxUeHPGCDYLTtTA_1_6"/>
      <w:bookmarkStart w:id="1840" w:name="Tc__EMPSdxPLUm8d95aNxSsfA_1_4"/>
      <w:bookmarkStart w:id="1841" w:name="_876cce12_589d_44a7_b2dd_e2bc09d248e1"/>
      <w:bookmarkStart w:id="1842" w:name="Tc_CjU1o1yLNkK7quhBFEH-gA_6_0"/>
      <w:bookmarkStart w:id="1843" w:name="Tc_kdhEe0y4Qk68lbLktrsxmQ_5_6"/>
      <w:bookmarkStart w:id="1844" w:name="Tc_B4DnyT02h0aNIPo0-tLqZw_5_0"/>
      <w:bookmarkStart w:id="1845" w:name="Tc_RdcZ5YVDvUuusfd-DrOqvg_4_6"/>
      <w:bookmarkStart w:id="1846" w:name="Tc_MIirF4BZ6kuM0lJiHdor-Q_4_4"/>
      <w:bookmarkStart w:id="1847" w:name="Tc_zIzF42mdPk-ToDzDfPAlog_4_0"/>
      <w:bookmarkStart w:id="1848" w:name="Tc_lJxwLvf4q0OewqJhfLis0A_3_0"/>
      <w:bookmarkStart w:id="1849" w:name="Tc_1vn0iorJt0up3UJeQW0Tfg_2_8"/>
      <w:bookmarkStart w:id="1850" w:name="Tc_Jhl2qAW-SkSzWETLoIkK5w_2_6"/>
      <w:bookmarkStart w:id="1851" w:name="Tc_NgDD2MJ5HUuk8obQXD2jwQ_2_4"/>
      <w:bookmarkStart w:id="1852" w:name="Tc_j7i_-O8icE-pKMexh3CZbQ_2_2"/>
      <w:bookmarkStart w:id="1853" w:name="Tc_Xz2y33_C2UeJ2QNzdrXAUQ_2_0"/>
      <w:bookmarkStart w:id="1854" w:name="Tc_z7bbgeaNqU-6D0Kz0_ybNA_1_6"/>
      <w:bookmarkStart w:id="1855" w:name="Tc_jvKFdxCw7kajpCdNzerg5Q_1_4"/>
      <w:bookmarkStart w:id="1856" w:name="_97c4cf19_a0f7_416c_8278_dd5707f441a6"/>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r>
        <w:rPr>
          <w:rFonts w:ascii="Times New Roman;Times;serif" w:hAnsi="Times New Roman;Times;serif"/>
          <w:sz w:val="20"/>
        </w:rPr>
        <w:t>The movements in the net deferred tax assets during the years ended December 31, 2020, 2021 and 2022 are as follows:</w:t>
      </w:r>
    </w:p>
    <w:p>
      <w:pPr>
        <w:pStyle w:val="TextBody"/>
        <w:spacing w:before="0" w:after="0"/>
        <w:ind w:left="0" w:right="0" w:hanging="0"/>
        <w:rPr/>
      </w:pPr>
      <w:r>
        <w:rPr/>
        <w:t>​</w:t>
      </w:r>
    </w:p>
    <w:tbl>
      <w:tblPr>
        <w:tblW w:w="9229" w:type="dxa"/>
        <w:jc w:val="left"/>
        <w:tblInd w:w="0" w:type="dxa"/>
        <w:tblCellMar>
          <w:top w:w="0" w:type="dxa"/>
          <w:left w:w="0" w:type="dxa"/>
          <w:bottom w:w="0" w:type="dxa"/>
          <w:right w:w="0" w:type="dxa"/>
        </w:tblCellMar>
      </w:tblPr>
      <w:tblGrid>
        <w:gridCol w:w="2581"/>
        <w:gridCol w:w="326"/>
        <w:gridCol w:w="1306"/>
        <w:gridCol w:w="326"/>
        <w:gridCol w:w="1111"/>
        <w:gridCol w:w="326"/>
        <w:gridCol w:w="1381"/>
        <w:gridCol w:w="326"/>
        <w:gridCol w:w="1546"/>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638935" cy="175260"/>
                      <wp:effectExtent l="0" t="0" r="0" b="0"/>
                      <wp:wrapNone/>
                      <wp:docPr id="392" name="Frame391"/>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829310" cy="175260"/>
                      <wp:effectExtent l="0" t="0" r="0" b="0"/>
                      <wp:wrapNone/>
                      <wp:docPr id="394" name="Frame393"/>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05485" cy="175260"/>
                      <wp:effectExtent l="0" t="0" r="0" b="0"/>
                      <wp:wrapNone/>
                      <wp:docPr id="396" name="Frame395"/>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876935" cy="175260"/>
                      <wp:effectExtent l="0" t="0" r="0" b="0"/>
                      <wp:wrapNone/>
                      <wp:docPr id="398" name="Frame397"/>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981710" cy="175260"/>
                      <wp:effectExtent l="0" t="0" r="0" b="0"/>
                      <wp:wrapNone/>
                      <wp:docPr id="400" name="Frame399"/>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shd w:fill="auto" w:val="clear"/>
            <w:vAlign w:val="center"/>
          </w:tcPr>
          <w:p>
            <w:pPr>
              <w:pStyle w:val="TableContents"/>
              <w:spacing w:before="0" w:after="1"/>
              <w:ind w:left="0" w:right="0" w:hanging="0"/>
              <w:jc w:val="center"/>
              <w:rPr/>
            </w:pPr>
            <w:r>
              <w:rPr/>
              <w:t>​</w:t>
            </w:r>
          </w:p>
        </w:tc>
      </w:tr>
      <w:tr>
        <w:trPr/>
        <w:tc>
          <w:tcPr>
            <w:tcW w:w="258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 2020</w:t>
            </w:r>
          </w:p>
        </w:tc>
        <w:tc>
          <w:tcPr>
            <w:tcW w:w="326" w:type="dxa"/>
            <w:tcBorders/>
            <w:shd w:fill="auto" w:val="clear"/>
            <w:vAlign w:val="center"/>
          </w:tcPr>
          <w:p>
            <w:pPr>
              <w:pStyle w:val="TableContents"/>
              <w:spacing w:before="0" w:after="1"/>
              <w:ind w:left="0" w:right="0" w:hanging="0"/>
              <w:jc w:val="center"/>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 or loss</w:t>
            </w:r>
          </w:p>
        </w:tc>
        <w:tc>
          <w:tcPr>
            <w:tcW w:w="326" w:type="dxa"/>
            <w:tcBorders/>
            <w:shd w:fill="auto" w:val="clear"/>
            <w:vAlign w:val="center"/>
          </w:tcPr>
          <w:p>
            <w:pPr>
              <w:pStyle w:val="TableContents"/>
              <w:spacing w:before="0" w:after="1"/>
              <w:ind w:left="0" w:right="0" w:hanging="0"/>
              <w:jc w:val="center"/>
              <w:rPr/>
            </w:pPr>
            <w:r>
              <w:rPr/>
              <w:t>    </w:t>
            </w:r>
          </w:p>
        </w:tc>
        <w:tc>
          <w:tcPr>
            <w:tcW w:w="138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invested capital</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25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Tax losses carried forward</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19,292</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26" w:type="dxa"/>
            <w:tcBorders/>
            <w:shd w:fill="CCEEFF" w:val="clear"/>
            <w:vAlign w:val="center"/>
          </w:tcPr>
          <w:p>
            <w:pPr>
              <w:pStyle w:val="TableContents"/>
              <w:spacing w:before="0" w:after="1"/>
              <w:ind w:left="0" w:right="0" w:hanging="0"/>
              <w:rPr/>
            </w:pPr>
            <w:r>
              <w:rPr/>
              <w:t> </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23,592</w:t>
            </w:r>
          </w:p>
        </w:tc>
      </w:tr>
      <w:tr>
        <w:trPr/>
        <w:tc>
          <w:tcPr>
            <w:tcW w:w="258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258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before="0" w:after="1"/>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spacing w:before="0" w:after="1"/>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5,998</w:t>
            </w:r>
          </w:p>
        </w:tc>
        <w:tc>
          <w:tcPr>
            <w:tcW w:w="326" w:type="dxa"/>
            <w:tcBorders/>
            <w:shd w:fill="CCEEFF" w:val="clear"/>
            <w:vAlign w:val="center"/>
          </w:tcPr>
          <w:p>
            <w:pPr>
              <w:pStyle w:val="TableContents"/>
              <w:spacing w:before="0" w:after="1"/>
              <w:ind w:left="0" w:right="0" w:hanging="0"/>
              <w:rPr/>
            </w:pPr>
            <w:r>
              <w:rPr/>
              <w:t> </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5,806</w:t>
            </w:r>
          </w:p>
        </w:tc>
      </w:tr>
      <w:tr>
        <w:trPr/>
        <w:tc>
          <w:tcPr>
            <w:tcW w:w="258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Net deferred tax assets</w:t>
            </w:r>
          </w:p>
        </w:tc>
        <w:tc>
          <w:tcPr>
            <w:tcW w:w="326" w:type="dxa"/>
            <w:tcBorders/>
            <w:shd w:fill="auto" w:val="clear"/>
            <w:vAlign w:val="center"/>
          </w:tcPr>
          <w:p>
            <w:pPr>
              <w:pStyle w:val="TableContents"/>
              <w:spacing w:before="0" w:after="1"/>
              <w:ind w:left="0" w:right="0" w:hanging="0"/>
              <w:rPr/>
            </w:pPr>
            <w:r>
              <w:rPr/>
              <w:t> </w:t>
            </w:r>
          </w:p>
        </w:tc>
        <w:tc>
          <w:tcPr>
            <w:tcW w:w="13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19,804</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8,013</w:t>
            </w:r>
          </w:p>
        </w:tc>
        <w:tc>
          <w:tcPr>
            <w:tcW w:w="326" w:type="dxa"/>
            <w:tcBorders/>
            <w:shd w:fill="auto" w:val="clear"/>
            <w:vAlign w:val="center"/>
          </w:tcPr>
          <w:p>
            <w:pPr>
              <w:pStyle w:val="TableContents"/>
              <w:spacing w:before="0" w:after="1"/>
              <w:ind w:left="0" w:right="0" w:hanging="0"/>
              <w:rPr/>
            </w:pPr>
            <w:r>
              <w:rPr/>
              <w:t> </w:t>
            </w:r>
          </w:p>
        </w:tc>
        <w:tc>
          <w:tcPr>
            <w:tcW w:w="13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2,285</w:t>
            </w:r>
          </w:p>
        </w:tc>
        <w:tc>
          <w:tcPr>
            <w:tcW w:w="326" w:type="dxa"/>
            <w:tcBorders/>
            <w:shd w:fill="auto" w:val="clear"/>
            <w:vAlign w:val="center"/>
          </w:tcPr>
          <w:p>
            <w:pPr>
              <w:pStyle w:val="TableContents"/>
              <w:spacing w:before="0" w:after="1"/>
              <w:ind w:left="0" w:right="0" w:hanging="0"/>
              <w:rPr/>
            </w:pPr>
            <w:r>
              <w:rPr/>
              <w:t> </w:t>
            </w:r>
          </w:p>
        </w:tc>
        <w:tc>
          <w:tcPr>
            <w:tcW w:w="154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30,102</w:t>
            </w:r>
          </w:p>
        </w:tc>
      </w:tr>
    </w:tbl>
    <w:p>
      <w:pPr>
        <w:pStyle w:val="TextBody"/>
        <w:spacing w:before="0" w:after="240"/>
        <w:ind w:left="0" w:right="0" w:firstLine="360"/>
        <w:jc w:val="both"/>
        <w:rPr/>
      </w:pPr>
      <w:r>
        <w:rPr/>
        <w:t>​</w:t>
      </w:r>
    </w:p>
    <w:tbl>
      <w:tblPr>
        <w:tblW w:w="9724" w:type="dxa"/>
        <w:jc w:val="left"/>
        <w:tblInd w:w="0" w:type="dxa"/>
        <w:tblCellMar>
          <w:top w:w="0" w:type="dxa"/>
          <w:left w:w="0" w:type="dxa"/>
          <w:bottom w:w="0" w:type="dxa"/>
          <w:right w:w="0" w:type="dxa"/>
        </w:tblCellMar>
      </w:tblPr>
      <w:tblGrid>
        <w:gridCol w:w="3076"/>
        <w:gridCol w:w="326"/>
        <w:gridCol w:w="1306"/>
        <w:gridCol w:w="326"/>
        <w:gridCol w:w="1111"/>
        <w:gridCol w:w="326"/>
        <w:gridCol w:w="1381"/>
        <w:gridCol w:w="326"/>
        <w:gridCol w:w="1546"/>
      </w:tblGrid>
      <w:tr>
        <w:trPr/>
        <w:tc>
          <w:tcPr>
            <w:tcW w:w="30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953260" cy="175260"/>
                      <wp:effectExtent l="0" t="0" r="0" b="0"/>
                      <wp:wrapNone/>
                      <wp:docPr id="401" name="Frame400"/>
                      <a:graphic xmlns:a="http://schemas.openxmlformats.org/drawingml/2006/main">
                        <a:graphicData uri="http://schemas.microsoft.com/office/word/2010/wordprocessingShape">
                          <wps:wsp>
                            <wps:cNvSpPr txBox="1"/>
                            <wps:spPr>
                              <a:xfrm>
                                <a:off x="0" y="0"/>
                                <a:ext cx="1953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829310" cy="175260"/>
                      <wp:effectExtent l="0" t="0" r="0" b="0"/>
                      <wp:wrapNone/>
                      <wp:docPr id="403" name="Frame402"/>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705485" cy="175260"/>
                      <wp:effectExtent l="0" t="0" r="0" b="0"/>
                      <wp:wrapNone/>
                      <wp:docPr id="405" name="Frame404"/>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876935" cy="175260"/>
                      <wp:effectExtent l="0" t="0" r="0" b="0"/>
                      <wp:wrapNone/>
                      <wp:docPr id="407" name="Frame406"/>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981710" cy="175260"/>
                      <wp:effectExtent l="0" t="0" r="0" b="0"/>
                      <wp:wrapNone/>
                      <wp:docPr id="409" name="Frame408"/>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shd w:fill="auto" w:val="clear"/>
            <w:vAlign w:val="center"/>
          </w:tcPr>
          <w:p>
            <w:pPr>
              <w:pStyle w:val="TableContents"/>
              <w:spacing w:before="0" w:after="1"/>
              <w:ind w:left="0" w:right="0" w:hanging="0"/>
              <w:jc w:val="center"/>
              <w:rPr/>
            </w:pPr>
            <w:r>
              <w:rPr/>
              <w:t>​</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 2021</w:t>
            </w:r>
          </w:p>
        </w:tc>
        <w:tc>
          <w:tcPr>
            <w:tcW w:w="326" w:type="dxa"/>
            <w:tcBorders/>
            <w:shd w:fill="auto" w:val="clear"/>
            <w:vAlign w:val="center"/>
          </w:tcPr>
          <w:p>
            <w:pPr>
              <w:pStyle w:val="TableContents"/>
              <w:spacing w:before="0" w:after="1"/>
              <w:ind w:left="0" w:right="0" w:hanging="0"/>
              <w:jc w:val="center"/>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 or loss</w:t>
            </w:r>
          </w:p>
        </w:tc>
        <w:tc>
          <w:tcPr>
            <w:tcW w:w="326" w:type="dxa"/>
            <w:tcBorders/>
            <w:shd w:fill="auto" w:val="clear"/>
            <w:vAlign w:val="center"/>
          </w:tcPr>
          <w:p>
            <w:pPr>
              <w:pStyle w:val="TableContents"/>
              <w:spacing w:before="0" w:after="1"/>
              <w:ind w:left="0" w:right="0" w:hanging="0"/>
              <w:jc w:val="center"/>
              <w:rPr/>
            </w:pPr>
            <w:r>
              <w:rPr/>
              <w:t>    </w:t>
            </w:r>
          </w:p>
        </w:tc>
        <w:tc>
          <w:tcPr>
            <w:tcW w:w="138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invested capital</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losses carried forward</w:t>
            </w:r>
          </w:p>
        </w:tc>
        <w:tc>
          <w:tcPr>
            <w:tcW w:w="326" w:type="dxa"/>
            <w:tcBorders/>
            <w:shd w:fill="CCEEFF" w:val="clear"/>
            <w:vAlign w:val="center"/>
          </w:tcPr>
          <w:p>
            <w:pPr>
              <w:pStyle w:val="TableContents"/>
              <w:spacing w:before="0" w:after="1"/>
              <w:ind w:left="0" w:right="0" w:hanging="0"/>
              <w:jc w:val="center"/>
              <w:rPr/>
            </w:pPr>
            <w:r>
              <w:rPr/>
              <w:t>​</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23,592</w:t>
            </w:r>
          </w:p>
        </w:tc>
        <w:tc>
          <w:tcPr>
            <w:tcW w:w="326" w:type="dxa"/>
            <w:tcBorders/>
            <w:shd w:fill="CCEEFF" w:val="clear"/>
            <w:vAlign w:val="center"/>
          </w:tcPr>
          <w:p>
            <w:pPr>
              <w:pStyle w:val="TableContents"/>
              <w:spacing w:before="0" w:after="1"/>
              <w:ind w:left="0" w:right="0" w:hanging="0"/>
              <w:jc w:val="center"/>
              <w:rPr/>
            </w:pPr>
            <w:r>
              <w:rPr/>
              <w:t>​</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(21,324)</w:t>
            </w:r>
          </w:p>
        </w:tc>
        <w:tc>
          <w:tcPr>
            <w:tcW w:w="326" w:type="dxa"/>
            <w:tcBorders/>
            <w:shd w:fill="CCEEFF" w:val="clear"/>
            <w:vAlign w:val="center"/>
          </w:tcPr>
          <w:p>
            <w:pPr>
              <w:pStyle w:val="TableContents"/>
              <w:spacing w:before="0" w:after="1"/>
              <w:ind w:left="0" w:right="0" w:hanging="0"/>
              <w:jc w:val="center"/>
              <w:rPr/>
            </w:pPr>
            <w:r>
              <w:rPr/>
              <w:t>​</w:t>
            </w:r>
          </w:p>
        </w:tc>
        <w:tc>
          <w:tcPr>
            <w:tcW w:w="13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2,094</w:t>
            </w:r>
          </w:p>
        </w:tc>
        <w:tc>
          <w:tcPr>
            <w:tcW w:w="326" w:type="dxa"/>
            <w:tcBorders/>
            <w:shd w:fill="CCEEFF" w:val="clear"/>
            <w:vAlign w:val="center"/>
          </w:tcPr>
          <w:p>
            <w:pPr>
              <w:pStyle w:val="TableContents"/>
              <w:spacing w:before="0" w:after="1"/>
              <w:ind w:left="0" w:right="0" w:hanging="0"/>
              <w:jc w:val="center"/>
              <w:rPr/>
            </w:pPr>
            <w:r>
              <w:rPr/>
              <w:t>​</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4,362</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1"/>
              <w:ind w:left="0" w:right="0" w:hanging="0"/>
              <w:jc w:val="center"/>
              <w:rPr/>
            </w:pPr>
            <w:r>
              <w:rPr/>
              <w:t>​</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auto" w:val="clear"/>
            <w:vAlign w:val="center"/>
          </w:tcPr>
          <w:p>
            <w:pPr>
              <w:pStyle w:val="TableContents"/>
              <w:spacing w:before="0" w:after="1"/>
              <w:ind w:left="0" w:right="0" w:hanging="0"/>
              <w:jc w:val="center"/>
              <w:rPr/>
            </w:pPr>
            <w:r>
              <w:rPr/>
              <w:t>​</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auto" w:val="clear"/>
            <w:vAlign w:val="center"/>
          </w:tcPr>
          <w:p>
            <w:pPr>
              <w:pStyle w:val="TableContents"/>
              <w:spacing w:before="0" w:after="1"/>
              <w:ind w:left="0" w:right="0" w:hanging="0"/>
              <w:jc w:val="center"/>
              <w:rPr/>
            </w:pPr>
            <w:r>
              <w:rPr/>
              <w:t>​</w:t>
            </w:r>
          </w:p>
        </w:tc>
        <w:tc>
          <w:tcPr>
            <w:tcW w:w="13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shd w:fill="auto" w:val="clear"/>
            <w:vAlign w:val="center"/>
          </w:tcPr>
          <w:p>
            <w:pPr>
              <w:pStyle w:val="TableContents"/>
              <w:spacing w:before="0" w:after="1"/>
              <w:ind w:left="0" w:right="0" w:hanging="0"/>
              <w:jc w:val="right"/>
              <w:rPr/>
            </w:pPr>
            <w:r>
              <w:rPr/>
              <w:t>—</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before="0" w:after="1"/>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5,806</w:t>
            </w:r>
          </w:p>
        </w:tc>
        <w:tc>
          <w:tcPr>
            <w:tcW w:w="326" w:type="dxa"/>
            <w:tcBorders/>
            <w:shd w:fill="CCEEFF" w:val="clear"/>
            <w:vAlign w:val="center"/>
          </w:tcPr>
          <w:p>
            <w:pPr>
              <w:pStyle w:val="TableContents"/>
              <w:spacing w:before="0" w:after="1"/>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(13,093)</w:t>
            </w:r>
          </w:p>
        </w:tc>
        <w:tc>
          <w:tcPr>
            <w:tcW w:w="326" w:type="dxa"/>
            <w:tcBorders/>
            <w:shd w:fill="CCEEFF" w:val="clear"/>
            <w:vAlign w:val="center"/>
          </w:tcPr>
          <w:p>
            <w:pPr>
              <w:pStyle w:val="TableContents"/>
              <w:spacing w:before="0" w:after="1"/>
              <w:ind w:left="0" w:right="0" w:hanging="0"/>
              <w:rPr/>
            </w:pPr>
            <w:r>
              <w:rPr/>
              <w:t> </w:t>
            </w:r>
          </w:p>
        </w:tc>
        <w:tc>
          <w:tcPr>
            <w:tcW w:w="13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(7,287)</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deferred tax assets / (liabilities)</w:t>
            </w:r>
          </w:p>
        </w:tc>
        <w:tc>
          <w:tcPr>
            <w:tcW w:w="326" w:type="dxa"/>
            <w:tcBorders/>
            <w:shd w:fill="auto" w:val="clear"/>
            <w:vAlign w:val="center"/>
          </w:tcPr>
          <w:p>
            <w:pPr>
              <w:pStyle w:val="TableContents"/>
              <w:spacing w:before="0" w:after="1"/>
              <w:ind w:left="0" w:right="0" w:hanging="0"/>
              <w:rPr/>
            </w:pPr>
            <w:r>
              <w:rPr/>
              <w:t> </w:t>
            </w:r>
          </w:p>
        </w:tc>
        <w:tc>
          <w:tcPr>
            <w:tcW w:w="13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30,102</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(35,121)</w:t>
            </w:r>
          </w:p>
        </w:tc>
        <w:tc>
          <w:tcPr>
            <w:tcW w:w="326" w:type="dxa"/>
            <w:tcBorders/>
            <w:shd w:fill="auto" w:val="clear"/>
            <w:vAlign w:val="center"/>
          </w:tcPr>
          <w:p>
            <w:pPr>
              <w:pStyle w:val="TableContents"/>
              <w:spacing w:before="0" w:after="1"/>
              <w:ind w:left="0" w:right="0" w:hanging="0"/>
              <w:rPr/>
            </w:pPr>
            <w:r>
              <w:rPr/>
              <w:t> </w:t>
            </w:r>
          </w:p>
        </w:tc>
        <w:tc>
          <w:tcPr>
            <w:tcW w:w="13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2,094</w:t>
            </w:r>
          </w:p>
        </w:tc>
        <w:tc>
          <w:tcPr>
            <w:tcW w:w="326" w:type="dxa"/>
            <w:tcBorders/>
            <w:shd w:fill="auto" w:val="clear"/>
            <w:vAlign w:val="center"/>
          </w:tcPr>
          <w:p>
            <w:pPr>
              <w:pStyle w:val="TableContents"/>
              <w:spacing w:before="0" w:after="1"/>
              <w:ind w:left="0" w:right="0" w:hanging="0"/>
              <w:rPr/>
            </w:pPr>
            <w:r>
              <w:rPr/>
              <w:t> </w:t>
            </w:r>
          </w:p>
        </w:tc>
        <w:tc>
          <w:tcPr>
            <w:tcW w:w="15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(2,925)</w:t>
            </w:r>
          </w:p>
        </w:tc>
      </w:tr>
    </w:tbl>
    <w:p>
      <w:pPr>
        <w:pStyle w:val="TextBody"/>
        <w:spacing w:before="0" w:after="240"/>
        <w:ind w:left="0" w:right="0" w:hanging="0"/>
        <w:jc w:val="both"/>
        <w:rPr/>
      </w:pPr>
      <w:r>
        <w:rPr/>
        <w:t>​</w:t>
      </w:r>
    </w:p>
    <w:tbl>
      <w:tblPr>
        <w:tblW w:w="8374" w:type="dxa"/>
        <w:jc w:val="left"/>
        <w:tblInd w:w="0" w:type="dxa"/>
        <w:tblCellMar>
          <w:top w:w="0" w:type="dxa"/>
          <w:left w:w="0" w:type="dxa"/>
          <w:bottom w:w="0" w:type="dxa"/>
          <w:right w:w="0" w:type="dxa"/>
        </w:tblCellMar>
      </w:tblPr>
      <w:tblGrid>
        <w:gridCol w:w="2581"/>
        <w:gridCol w:w="326"/>
        <w:gridCol w:w="946"/>
        <w:gridCol w:w="326"/>
        <w:gridCol w:w="931"/>
        <w:gridCol w:w="326"/>
        <w:gridCol w:w="1426"/>
        <w:gridCol w:w="326"/>
        <w:gridCol w:w="1186"/>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638935" cy="175260"/>
                      <wp:effectExtent l="0" t="0" r="0" b="0"/>
                      <wp:wrapNone/>
                      <wp:docPr id="410" name="Frame409"/>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00710" cy="175260"/>
                      <wp:effectExtent l="0" t="0" r="0" b="0"/>
                      <wp:wrapNone/>
                      <wp:docPr id="412" name="Frame411"/>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1185" cy="175260"/>
                      <wp:effectExtent l="0" t="0" r="0" b="0"/>
                      <wp:wrapNone/>
                      <wp:docPr id="414" name="Frame41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905510" cy="175260"/>
                      <wp:effectExtent l="0" t="0" r="0" b="0"/>
                      <wp:wrapNone/>
                      <wp:docPr id="416" name="Frame415"/>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53110" cy="175260"/>
                      <wp:effectExtent l="0" t="0" r="0" b="0"/>
                      <wp:wrapNone/>
                      <wp:docPr id="418" name="Frame417"/>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w:t>
            </w:r>
          </w:p>
        </w:tc>
        <w:tc>
          <w:tcPr>
            <w:tcW w:w="326" w:type="dxa"/>
            <w:tcBorders/>
            <w:shd w:fill="auto" w:val="clear"/>
            <w:vAlign w:val="center"/>
          </w:tcPr>
          <w:p>
            <w:pPr>
              <w:pStyle w:val="TableContents"/>
              <w:spacing w:before="0" w:after="0"/>
              <w:ind w:left="0" w:right="0" w:hanging="0"/>
              <w:jc w:val="center"/>
              <w:rPr/>
            </w:pPr>
            <w:r>
              <w:rPr/>
              <w:t>    </w:t>
            </w:r>
          </w:p>
        </w:tc>
        <w:tc>
          <w:tcPr>
            <w:tcW w:w="14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6" w:type="dxa"/>
            <w:tcBorders/>
            <w:shd w:fill="auto" w:val="clear"/>
            <w:vAlign w:val="center"/>
          </w:tcPr>
          <w:p>
            <w:pPr>
              <w:pStyle w:val="TableContents"/>
              <w:spacing w:before="0" w:after="0"/>
              <w:ind w:left="0" w:right="0" w:hanging="0"/>
              <w:jc w:val="center"/>
              <w:rPr/>
            </w:pPr>
            <w:r>
              <w:rPr/>
              <w:t>​</w: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 </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in profit</w:t>
            </w:r>
          </w:p>
        </w:tc>
        <w:tc>
          <w:tcPr>
            <w:tcW w:w="326" w:type="dxa"/>
            <w:tcBorders/>
            <w:shd w:fill="auto" w:val="clear"/>
            <w:vAlign w:val="center"/>
          </w:tcPr>
          <w:p>
            <w:pPr>
              <w:pStyle w:val="TableContents"/>
              <w:spacing w:before="0" w:after="0"/>
              <w:ind w:left="0" w:right="0" w:hanging="0"/>
              <w:jc w:val="center"/>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Charged to </w:t>
            </w:r>
          </w:p>
        </w:tc>
        <w:tc>
          <w:tcPr>
            <w:tcW w:w="326" w:type="dxa"/>
            <w:tcBorders/>
            <w:shd w:fill="auto" w:val="clear"/>
            <w:vAlign w:val="center"/>
          </w:tcPr>
          <w:p>
            <w:pPr>
              <w:pStyle w:val="TableContents"/>
              <w:spacing w:before="0" w:after="0"/>
              <w:ind w:left="0" w:right="0" w:hanging="0"/>
              <w:jc w:val="center"/>
              <w:rPr/>
            </w:pPr>
            <w:r>
              <w:rPr/>
              <w:t>​</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or loss</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invested capital </w:t>
            </w: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losses carried forward</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4,324</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2,672</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2,672</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(7,287)</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326" w:type="dxa"/>
            <w:tcBorders/>
            <w:shd w:fill="CCEEFF" w:val="clear"/>
            <w:vAlign w:val="center"/>
          </w:tcPr>
          <w:p>
            <w:pPr>
              <w:pStyle w:val="TableContents"/>
              <w:spacing w:before="0" w:after="0"/>
              <w:ind w:left="0" w:right="0" w:hanging="0"/>
              <w:rPr/>
            </w:pPr>
            <w:r>
              <w:rPr/>
              <w:t> </w:t>
            </w:r>
          </w:p>
        </w:tc>
        <w:tc>
          <w:tcPr>
            <w:tcW w:w="14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(13,765)</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deferred tax liabilities</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(2,925)</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(3,844)</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(6,769)</w:t>
            </w:r>
          </w:p>
        </w:tc>
      </w:tr>
    </w:tbl>
    <w:tbl>
      <w:tblPr>
        <w:tblW w:w="10205" w:type="dxa"/>
        <w:jc w:val="left"/>
        <w:tblInd w:w="0" w:type="dxa"/>
        <w:tblCellMar>
          <w:top w:w="28" w:type="dxa"/>
          <w:left w:w="28" w:type="dxa"/>
          <w:bottom w:w="28" w:type="dxa"/>
          <w:right w:w="28" w:type="dxa"/>
        </w:tblCellMar>
      </w:tblPr>
      <w:tblGrid>
        <w:gridCol w:w="124"/>
        <w:gridCol w:w="288"/>
        <w:gridCol w:w="9793"/>
      </w:tblGrid>
      <w:tr>
        <w:trPr/>
        <w:tc>
          <w:tcPr>
            <w:tcW w:w="12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(1)</w:t>
            </w:r>
          </w:p>
        </w:tc>
        <w:tc>
          <w:tcPr>
            <w:tcW w:w="979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assets charged to invested capital is due to the Group recognizing deferred tax assets related to tax losses carried forward based on the tax losses available to the individual legal entities within the Group during the Carve-out Period, which creates differences between the income tax benefit or expense determined based on the operation results of the Bitdeer Business.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not recognized deductible temporary differences and a portion of the tax loss carryforward because the criteria for recognition (i.e., the probability of future taxable profits) were not met. The amount of such unused tax losses will expire as follows:</w:t>
      </w:r>
    </w:p>
    <w:p>
      <w:pPr>
        <w:pStyle w:val="TextBody"/>
        <w:spacing w:before="0" w:after="0"/>
        <w:ind w:left="0" w:right="0" w:hanging="0"/>
        <w:rPr/>
      </w:pPr>
      <w:r>
        <w:rPr/>
        <w:t>​</w:t>
      </w:r>
    </w:p>
    <w:tbl>
      <w:tblPr>
        <w:tblW w:w="4690" w:type="dxa"/>
        <w:jc w:val="left"/>
        <w:tblInd w:w="0" w:type="dxa"/>
        <w:tblCellMar>
          <w:top w:w="0" w:type="dxa"/>
          <w:left w:w="0" w:type="dxa"/>
          <w:bottom w:w="0" w:type="dxa"/>
          <w:right w:w="0" w:type="dxa"/>
        </w:tblCellMar>
      </w:tblPr>
      <w:tblGrid>
        <w:gridCol w:w="1306"/>
        <w:gridCol w:w="326"/>
        <w:gridCol w:w="1396"/>
        <w:gridCol w:w="326"/>
        <w:gridCol w:w="1336"/>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829310" cy="175260"/>
                      <wp:effectExtent l="0" t="0" r="0" b="0"/>
                      <wp:wrapNone/>
                      <wp:docPr id="419" name="Frame418"/>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886460" cy="175260"/>
                      <wp:effectExtent l="0" t="0" r="0" b="0"/>
                      <wp:wrapNone/>
                      <wp:docPr id="421" name="Frame420"/>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848360" cy="175260"/>
                      <wp:effectExtent l="0" t="0" r="0" b="0"/>
                      <wp:wrapNone/>
                      <wp:docPr id="423" name="Frame422"/>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Earliest year of</w:t>
            </w:r>
          </w:p>
        </w:tc>
      </w:tr>
      <w:tr>
        <w:trPr/>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shd w:fill="auto" w:val="clear"/>
            <w:vAlign w:val="center"/>
          </w:tcPr>
          <w:p>
            <w:pPr>
              <w:pStyle w:val="TableContents"/>
              <w:spacing w:before="0" w:after="1"/>
              <w:ind w:left="0" w:right="0" w:hanging="0"/>
              <w:jc w:val="center"/>
              <w:rPr/>
            </w:pPr>
            <w:r>
              <w:rPr/>
              <w:t>​</w:t>
            </w:r>
          </w:p>
        </w:tc>
        <w:tc>
          <w:tcPr>
            <w:tcW w:w="13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if not</w:t>
            </w:r>
          </w:p>
        </w:tc>
      </w:tr>
      <w:tr>
        <w:trPr/>
        <w:tc>
          <w:tcPr>
            <w:tcW w:w="1306" w:type="dxa"/>
            <w:tcBorders>
              <w:bottom w:val="single" w:sz="2" w:space="0" w:color="000000"/>
            </w:tcBorders>
            <w:shd w:fill="auto" w:val="clear"/>
            <w:tcMar>
              <w:bottom w:w="28" w:type="dxa"/>
            </w:tcMar>
            <w:vAlign w:val="center"/>
          </w:tcPr>
          <w:p>
            <w:pPr>
              <w:pStyle w:val="TableContents"/>
              <w:pBdr/>
              <w:spacing w:before="0" w:after="1"/>
              <w:ind w:left="0" w:right="0" w:hanging="0"/>
              <w:jc w:val="center"/>
              <w:rPr>
                <w:rFonts w:ascii="Times New Roman;Times;serif" w:hAnsi="Times New Roman;Times;serif"/>
                <w:b/>
                <w:sz w:val="16"/>
              </w:rPr>
            </w:pPr>
            <w:r>
              <w:rPr>
                <w:rFonts w:ascii="Times New Roman;Times;serif" w:hAnsi="Times New Roman;Times;serif"/>
                <w:b/>
                <w:sz w:val="16"/>
              </w:rPr>
              <w:t>Tax Jurisdiction</w:t>
            </w:r>
          </w:p>
        </w:tc>
        <w:tc>
          <w:tcPr>
            <w:tcW w:w="326" w:type="dxa"/>
            <w:tcBorders/>
            <w:shd w:fill="auto" w:val="clear"/>
            <w:vAlign w:val="center"/>
          </w:tcPr>
          <w:p>
            <w:pPr>
              <w:pStyle w:val="TableContents"/>
              <w:spacing w:before="0" w:after="1"/>
              <w:ind w:left="0" w:right="0" w:hanging="0"/>
              <w:jc w:val="center"/>
              <w:rPr/>
            </w:pPr>
            <w:r>
              <w:rPr/>
              <w:t>    </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thousands of USD</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utilized</w:t>
            </w:r>
          </w:p>
        </w:tc>
      </w:tr>
      <w:tr>
        <w:trPr/>
        <w:tc>
          <w:tcPr>
            <w:tcW w:w="130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Singapore</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3,555</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Indefinitely</w:t>
            </w:r>
          </w:p>
        </w:tc>
      </w:tr>
      <w:tr>
        <w:trPr/>
        <w:tc>
          <w:tcPr>
            <w:tcW w:w="130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Hong Kong</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4,694</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Indefinitely</w:t>
            </w:r>
          </w:p>
        </w:tc>
      </w:tr>
      <w:tr>
        <w:trPr/>
        <w:tc>
          <w:tcPr>
            <w:tcW w:w="130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1"/>
              <w:ind w:left="0" w:right="0" w:hanging="0"/>
              <w:rPr/>
            </w:pPr>
            <w:r>
              <w:rPr/>
              <w:t>​</w:t>
            </w:r>
          </w:p>
        </w:tc>
        <w:tc>
          <w:tcPr>
            <w:tcW w:w="13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88,438</w:t>
            </w:r>
          </w:p>
        </w:tc>
        <w:tc>
          <w:tcPr>
            <w:tcW w:w="326" w:type="dxa"/>
            <w:tcBorders/>
            <w:shd w:fill="CCEEFF" w:val="clear"/>
            <w:vAlign w:val="center"/>
          </w:tcPr>
          <w:p>
            <w:pPr>
              <w:pStyle w:val="TableContents"/>
              <w:spacing w:before="0" w:after="1"/>
              <w:ind w:left="0" w:right="0" w:hanging="0"/>
              <w:rPr/>
            </w:pPr>
            <w:r>
              <w:rPr/>
              <w:t>​</w:t>
            </w:r>
          </w:p>
        </w:tc>
        <w:tc>
          <w:tcPr>
            <w:tcW w:w="13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Indefinitely</w:t>
            </w:r>
          </w:p>
        </w:tc>
      </w:tr>
      <w:tr>
        <w:trPr/>
        <w:tc>
          <w:tcPr>
            <w:tcW w:w="130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 </w:t>
            </w:r>
          </w:p>
        </w:tc>
        <w:tc>
          <w:tcPr>
            <w:tcW w:w="13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96,687</w:t>
            </w:r>
          </w:p>
        </w:tc>
        <w:tc>
          <w:tcPr>
            <w:tcW w:w="326" w:type="dxa"/>
            <w:tcBorders/>
            <w:shd w:fill="auto" w:val="clear"/>
            <w:vAlign w:val="center"/>
          </w:tcPr>
          <w:p>
            <w:pPr>
              <w:pStyle w:val="TableContents"/>
              <w:spacing w:before="0" w:after="1"/>
              <w:ind w:left="0" w:right="0" w:hanging="0"/>
              <w:rPr/>
            </w:pPr>
            <w:r>
              <w:rPr/>
              <w:t> </w:t>
            </w:r>
          </w:p>
        </w:tc>
        <w:tc>
          <w:tcPr>
            <w:tcW w:w="1336" w:type="dxa"/>
            <w:tcBorders/>
            <w:shd w:fill="auto" w:val="clear"/>
            <w:vAlign w:val="center"/>
          </w:tcPr>
          <w:p>
            <w:pPr>
              <w:pStyle w:val="TableContents"/>
              <w:spacing w:before="0" w:after="1"/>
              <w:ind w:left="0" w:right="0" w:hanging="0"/>
              <w:jc w:val="right"/>
              <w:rPr/>
            </w:pPr>
            <w:r>
              <w:rPr/>
              <w:t>  </w:t>
            </w:r>
          </w:p>
        </w:tc>
      </w:tr>
    </w:tbl>
    <w:p>
      <w:pPr>
        <w:pStyle w:val="TextBody"/>
        <w:spacing w:before="0" w:after="240"/>
        <w:ind w:left="0" w:right="0" w:firstLine="36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857" w:name="Tc_gHpmIZcrbkqcvmkcoEpD1g_4_0"/>
      <w:bookmarkStart w:id="1858" w:name="Tc_ue1Y4sPHKkeVV0M4wX6n7A_3_0"/>
      <w:bookmarkStart w:id="1859" w:name="Tc_dmi5ZBqm0km6UbN1ve_PJQ_2_6"/>
      <w:bookmarkStart w:id="1860" w:name="Tc_Lb132Z3S1k-OVU7zrd2ifQ_2_4"/>
      <w:bookmarkStart w:id="1861" w:name="Tc_f75yUlWqoUqH-X62AvsSHw_2_2"/>
      <w:bookmarkStart w:id="1862" w:name="Tc_Jn4x5J9p8kKjfe8OfaP11A_2_0"/>
      <w:bookmarkStart w:id="1863" w:name="Tc_Z3NVLsEf00iqTwYTnJCzpQ_1_2"/>
      <w:bookmarkEnd w:id="1857"/>
      <w:bookmarkEnd w:id="1858"/>
      <w:bookmarkEnd w:id="1859"/>
      <w:bookmarkEnd w:id="1860"/>
      <w:bookmarkEnd w:id="1861"/>
      <w:bookmarkEnd w:id="1862"/>
      <w:bookmarkEnd w:id="1863"/>
      <w:r>
        <w:rPr>
          <w:rFonts w:ascii="Times New Roman;Times;serif" w:hAnsi="Times New Roman;Times;serif"/>
          <w:b/>
          <w:i w:val="false"/>
          <w:caps w:val="false"/>
          <w:smallCaps w:val="false"/>
          <w:sz w:val="20"/>
        </w:rPr>
        <w:t>20.</w:t>
      </w:r>
      <w:r>
        <w:rPr>
          <w:rFonts w:ascii="Times New Roman;Times;serif" w:hAnsi="Times New Roman;Times;serif"/>
          <w:b/>
          <w:sz w:val="20"/>
        </w:rPr>
        <w:t>RELATED PARTY TRANSACTIONS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Compensation for key management and Board of Directors</w:t>
      </w:r>
    </w:p>
    <w:p>
      <w:pPr>
        <w:pStyle w:val="TextBody"/>
        <w:spacing w:before="0" w:after="0"/>
        <w:ind w:left="0" w:right="0" w:hanging="0"/>
        <w:rPr/>
      </w:pPr>
      <w:r>
        <w:rPr/>
        <w:t>​</w:t>
      </w:r>
    </w:p>
    <w:tbl>
      <w:tblPr>
        <w:tblW w:w="5490" w:type="dxa"/>
        <w:jc w:val="left"/>
        <w:tblInd w:w="0" w:type="dxa"/>
        <w:tblCellMar>
          <w:top w:w="0" w:type="dxa"/>
          <w:left w:w="0" w:type="dxa"/>
          <w:bottom w:w="0" w:type="dxa"/>
          <w:right w:w="0" w:type="dxa"/>
        </w:tblCellMar>
      </w:tblPr>
      <w:tblGrid>
        <w:gridCol w:w="2596"/>
        <w:gridCol w:w="326"/>
        <w:gridCol w:w="676"/>
        <w:gridCol w:w="109"/>
        <w:gridCol w:w="676"/>
        <w:gridCol w:w="326"/>
        <w:gridCol w:w="781"/>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648460" cy="175260"/>
                      <wp:effectExtent l="0" t="0" r="0" b="0"/>
                      <wp:wrapNone/>
                      <wp:docPr id="424" name="Frame423"/>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29260" cy="175260"/>
                      <wp:effectExtent l="0" t="0" r="0" b="0"/>
                      <wp:wrapNone/>
                      <wp:docPr id="426" name="Frame42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29260" cy="175260"/>
                      <wp:effectExtent l="0" t="0" r="0" b="0"/>
                      <wp:wrapNone/>
                      <wp:docPr id="428" name="Frame42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5935" cy="175260"/>
                      <wp:effectExtent l="0" t="0" r="0" b="0"/>
                      <wp:wrapNone/>
                      <wp:docPr id="430" name="Frame42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568"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596" w:type="dxa"/>
            <w:tcBorders/>
            <w:shd w:fill="auto" w:val="clear"/>
            <w:vAlign w:val="center"/>
          </w:tcPr>
          <w:p>
            <w:pPr>
              <w:pStyle w:val="TableContents"/>
              <w:pBdr/>
              <w:spacing w:before="0" w:after="1"/>
              <w:ind w:left="0" w:right="0" w:hanging="0"/>
              <w:rPr>
                <w:rFonts w:ascii="Times New Roman;Times;serif" w:hAnsi="Times New Roman;Times;serif"/>
                <w:b/>
                <w:color w:val="231F20"/>
                <w:sz w:val="16"/>
              </w:rPr>
            </w:pPr>
            <w:r>
              <w:rPr>
                <w:rFonts w:ascii="Times New Roman;Times;serif" w:hAnsi="Times New Roman;Times;serif"/>
                <w:b/>
                <w:color w:val="231F20"/>
                <w:sz w:val="16"/>
              </w:rPr>
              <w:t>In thousands of USD</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109" w:type="dxa"/>
            <w:tcBorders/>
            <w:shd w:fill="auto" w:val="clear"/>
            <w:vAlign w:val="center"/>
          </w:tcPr>
          <w:p>
            <w:pPr>
              <w:pStyle w:val="TableContents"/>
              <w:spacing w:before="0" w:after="1"/>
              <w:ind w:left="0" w:right="0" w:hanging="0"/>
              <w:jc w:val="center"/>
              <w:rPr>
                <w:color w:val="231F20"/>
              </w:rPr>
            </w:pPr>
            <w:r>
              <w:rPr>
                <w:color w:val="231F20"/>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259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Salaries and other emoluments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10,175</w:t>
            </w:r>
          </w:p>
        </w:tc>
        <w:tc>
          <w:tcPr>
            <w:tcW w:w="109" w:type="dxa"/>
            <w:tcBorders/>
            <w:shd w:fill="CCEEFF" w:val="clear"/>
            <w:vAlign w:val="center"/>
          </w:tcPr>
          <w:p>
            <w:pPr>
              <w:pStyle w:val="TableContents"/>
              <w:spacing w:before="0" w:after="1"/>
              <w:ind w:left="0" w:right="0" w:hanging="0"/>
              <w:jc w:val="right"/>
              <w:rPr>
                <w:color w:val="231F20"/>
              </w:rPr>
            </w:pPr>
            <w:r>
              <w:rPr>
                <w:color w:val="231F20"/>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11,627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11,969</w:t>
            </w:r>
          </w:p>
        </w:tc>
      </w:tr>
      <w:tr>
        <w:trPr/>
        <w:tc>
          <w:tcPr>
            <w:tcW w:w="2596" w:type="dxa"/>
            <w:tcBorders/>
            <w:shd w:fill="auto"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Total</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10,175</w:t>
            </w:r>
          </w:p>
        </w:tc>
        <w:tc>
          <w:tcPr>
            <w:tcW w:w="109" w:type="dxa"/>
            <w:tcBorders/>
            <w:shd w:fill="auto" w:val="clear"/>
            <w:vAlign w:val="center"/>
          </w:tcPr>
          <w:p>
            <w:pPr>
              <w:pStyle w:val="TableContents"/>
              <w:spacing w:before="0" w:after="1"/>
              <w:ind w:left="0" w:right="0" w:hanging="0"/>
              <w:jc w:val="right"/>
              <w:rPr>
                <w:color w:val="231F20"/>
              </w:rPr>
            </w:pPr>
            <w:r>
              <w:rPr>
                <w:color w:val="231F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11,627</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11,969</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Balances and transactions with Bitmain and BTC</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Carve-out Period, the Group and BTC were integrated into the group-wide operation directed by Bitmain before the completion of the Reorganization.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360" w:right="0" w:hanging="0"/>
        <w:jc w:val="both"/>
        <w:rPr>
          <w:rFonts w:ascii="Times New Roman;Times;serif" w:hAnsi="Times New Roman;Times;serif"/>
          <w:sz w:val="20"/>
        </w:rPr>
      </w:pPr>
      <w:bookmarkStart w:id="1864" w:name="Tc_rL_XTKkBg0SRHZRshSGfrA_3_6"/>
      <w:bookmarkStart w:id="1865" w:name="Tc_rCFw3hJ4vE-MUg29ZhJH0A_3_0"/>
      <w:bookmarkStart w:id="1866" w:name="Tc_vaO-LWW-fEKLBW0x4tHqnQ_2_6"/>
      <w:bookmarkStart w:id="1867" w:name="Tc_GEl5rZfF6kuh_0o2rOVI1Q_2_4"/>
      <w:bookmarkStart w:id="1868" w:name="Tc_RsQAnogk-EKr7qlm50rYUQ_2_2"/>
      <w:bookmarkStart w:id="1869" w:name="Tc_ghozGv7k6EemKXDwDlxRWA_2_0"/>
      <w:bookmarkStart w:id="1870" w:name="Tc_AsSIVniGsUmdSWtj8gaYaw_1_2"/>
      <w:bookmarkStart w:id="1871" w:name="_c0942ca7_26a4_4a94_be5f_b2d58a4bc10d"/>
      <w:bookmarkStart w:id="1872" w:name="Tc_5Kyw_Yl2jUS0Z5T_J35y4w_6_6"/>
      <w:bookmarkStart w:id="1873" w:name="Tc_U3pir3cxBUmj21OPZraMiA_6_0"/>
      <w:bookmarkStart w:id="1874" w:name="Tc_5XQJoyjqbkOB3qXavXMQvw_5_6"/>
      <w:bookmarkStart w:id="1875" w:name="Tc_BAItMgGLzEyaPl_4JgPUlQ_5_0"/>
      <w:bookmarkStart w:id="1876" w:name="Tc_0eBG2tZTGUmeKef1wr5Wjw_4_6"/>
      <w:bookmarkStart w:id="1877" w:name="Tc_Fhp_eEWY6E-q7hetf1-1aA_4_0"/>
      <w:bookmarkStart w:id="1878" w:name="Tc__xTrxL7iB0qeUk_5YXcUoA_3_6"/>
      <w:bookmarkStart w:id="1879" w:name="Tc_evhvGw8M5U63HswOW9AA4Q_3_0"/>
      <w:bookmarkStart w:id="1880" w:name="Tc_wwrnr1z4z0OWgAaw45ZGEA_2_6"/>
      <w:bookmarkStart w:id="1881" w:name="Tc_rbGbubPMNkGf9EvAr03Rcw_2_4"/>
      <w:bookmarkStart w:id="1882" w:name="Tc_hi8vysk88kiJ7_x5EjlUpg_2_2"/>
      <w:bookmarkStart w:id="1883" w:name="Tc_Ui2YYw3RXU2263IYQu_DrQ_2_0"/>
      <w:bookmarkStart w:id="1884" w:name="Tc_bv0vIn7-1Ea9fOZ1r-EVpw_1_2"/>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r>
        <w:rPr>
          <w:rFonts w:ascii="Times New Roman;Times;serif" w:hAnsi="Times New Roman;Times;serif"/>
          <w:sz w:val="20"/>
        </w:rPr>
        <w:t>Bitmain’s business model includes a combination of stand-alone and combined business functions between Bitmain, BTC and the Group, varying by service line and country. The consolidated financial statements of the Group include allocations of certain costs between Bitmain, BTC and the Group. Such allocations are estimates, and also may not represent the cost of such services if performed on a stand-alone basis. See further description of cost allocations in Note 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invested capital in the consolidated statements of financial position represents Bitmain’s historical investment in the Group, the net effect of allocations from transactions with Bitmain and BTC, and the Group’s accumulated retained earnings.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Upon completion of the Reorganization, the Group started operating on a stand-alone basis and Bitmain and BTC no longer hold equity interest, exercise significant influence over, or act as an affiliate of the Group and its operations. As a result, Bitmain and BTC ceased to be related parties to the Group.</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activities between the Group and Bitmain and BTC before the completion date of the Reorganization were presented as related party transactions in the consolidated statements of operations and comprehensive income / (loss), cash flows and changes in invested capital and equity for all periods presented.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 reconciliation of deemed distribution to related parties to the corresponding amounts presented in the consolidated statement of cash flows for all periods presented is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277"/>
        <w:gridCol w:w="326"/>
        <w:gridCol w:w="880"/>
        <w:gridCol w:w="109"/>
        <w:gridCol w:w="775"/>
        <w:gridCol w:w="326"/>
        <w:gridCol w:w="512"/>
      </w:tblGrid>
      <w:tr>
        <w:trPr/>
        <w:tc>
          <w:tcPr>
            <w:tcW w:w="7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620895" cy="175260"/>
                      <wp:effectExtent l="0" t="0" r="0" b="0"/>
                      <wp:wrapNone/>
                      <wp:docPr id="431" name="Frame430"/>
                      <a:graphic xmlns:a="http://schemas.openxmlformats.org/drawingml/2006/main">
                        <a:graphicData uri="http://schemas.microsoft.com/office/word/2010/wordprocessingShape">
                          <wps:wsp>
                            <wps:cNvSpPr txBox="1"/>
                            <wps:spPr>
                              <a:xfrm>
                                <a:off x="0" y="0"/>
                                <a:ext cx="4620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58800" cy="175260"/>
                      <wp:effectExtent l="0" t="0" r="0" b="0"/>
                      <wp:wrapNone/>
                      <wp:docPr id="433" name="Frame432"/>
                      <a:graphic xmlns:a="http://schemas.openxmlformats.org/drawingml/2006/main">
                        <a:graphicData uri="http://schemas.microsoft.com/office/word/2010/wordprocessingShape">
                          <wps:wsp>
                            <wps:cNvSpPr txBox="1"/>
                            <wps:spPr>
                              <a:xfrm>
                                <a:off x="0" y="0"/>
                                <a:ext cx="558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34" name="Frame4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2125" cy="175260"/>
                      <wp:effectExtent l="0" t="0" r="0" b="0"/>
                      <wp:wrapNone/>
                      <wp:docPr id="435" name="Frame434"/>
                      <a:graphic xmlns:a="http://schemas.openxmlformats.org/drawingml/2006/main">
                        <a:graphicData uri="http://schemas.microsoft.com/office/word/2010/wordprocessingShape">
                          <wps:wsp>
                            <wps:cNvSpPr txBox="1"/>
                            <wps:spPr>
                              <a:xfrm>
                                <a:off x="0" y="0"/>
                                <a:ext cx="492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25120" cy="175260"/>
                      <wp:effectExtent l="0" t="0" r="0" b="0"/>
                      <wp:wrapNone/>
                      <wp:docPr id="437" name="Frame436"/>
                      <a:graphic xmlns:a="http://schemas.openxmlformats.org/drawingml/2006/main">
                        <a:graphicData uri="http://schemas.microsoft.com/office/word/2010/wordprocessingShape">
                          <wps:wsp>
                            <wps:cNvSpPr txBox="1"/>
                            <wps:spPr>
                              <a:xfrm>
                                <a:off x="0" y="0"/>
                                <a:ext cx="3251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277"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w:t>
            </w:r>
          </w:p>
        </w:tc>
        <w:tc>
          <w:tcPr>
            <w:tcW w:w="260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7277"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88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77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51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7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distribution to related parties per consolidated</w:t>
            </w:r>
            <w:r>
              <w:rPr>
                <w:rFonts w:ascii="Times New Roman;Times;serif" w:hAnsi="Times New Roman;Times;serif"/>
                <w:color w:val="231F20"/>
                <w:sz w:val="20"/>
              </w:rPr>
              <w:t xml:space="preserve"> statements of changes in invested capital and equity</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0"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(157,557)</w:t>
            </w:r>
          </w:p>
        </w:tc>
        <w:tc>
          <w:tcPr>
            <w:tcW w:w="109" w:type="dxa"/>
            <w:tcBorders/>
            <w:shd w:fill="CCEEFF" w:val="clear"/>
            <w:vAlign w:val="center"/>
          </w:tcPr>
          <w:p>
            <w:pPr>
              <w:pStyle w:val="TableContents"/>
              <w:spacing w:before="0" w:after="1"/>
              <w:ind w:left="0" w:right="0" w:hanging="0"/>
              <w:jc w:val="right"/>
              <w:rPr>
                <w:color w:val="231F20"/>
              </w:rPr>
            </w:pPr>
            <w:r>
              <w:rPr>
                <w:color w:val="231F20"/>
              </w:rPr>
              <w:t>​</w:t>
            </w:r>
          </w:p>
        </w:tc>
        <w:tc>
          <w:tcPr>
            <w:tcW w:w="775"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(29,311)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12"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7277"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Corporate allocations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0"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(1,709)</w:t>
            </w:r>
          </w:p>
        </w:tc>
        <w:tc>
          <w:tcPr>
            <w:tcW w:w="109" w:type="dxa"/>
            <w:tcBorders/>
            <w:shd w:fill="auto" w:val="clear"/>
            <w:vAlign w:val="center"/>
          </w:tcPr>
          <w:p>
            <w:pPr>
              <w:pStyle w:val="TableContents"/>
              <w:spacing w:before="0" w:after="1"/>
              <w:ind w:left="0" w:right="0" w:hanging="0"/>
              <w:jc w:val="right"/>
              <w:rPr>
                <w:color w:val="231F20"/>
              </w:rPr>
            </w:pPr>
            <w:r>
              <w:rPr>
                <w:color w:val="231F20"/>
              </w:rPr>
              <w:t>​</w:t>
            </w:r>
          </w:p>
        </w:tc>
        <w:tc>
          <w:tcPr>
            <w:tcW w:w="775"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(2,167)</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12"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7277"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effect of attribution of the assets and liabilities from Bitmain’s business transferred to the Group during the Reorganization</w:t>
            </w:r>
          </w:p>
        </w:tc>
        <w:tc>
          <w:tcPr>
            <w:tcW w:w="326" w:type="dxa"/>
            <w:tcBorders/>
            <w:shd w:fill="CCEEFF" w:val="clear"/>
            <w:vAlign w:val="center"/>
          </w:tcPr>
          <w:p>
            <w:pPr>
              <w:pStyle w:val="TableContents"/>
              <w:spacing w:before="0" w:after="1"/>
              <w:ind w:left="0" w:right="0" w:hanging="0"/>
              <w:rPr/>
            </w:pPr>
            <w:r>
              <w:rPr/>
              <w:t> </w:t>
            </w:r>
          </w:p>
        </w:tc>
        <w:tc>
          <w:tcPr>
            <w:tcW w:w="8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(235,506)</w:t>
            </w:r>
          </w:p>
        </w:tc>
        <w:tc>
          <w:tcPr>
            <w:tcW w:w="109" w:type="dxa"/>
            <w:tcBorders/>
            <w:shd w:fill="CCEEFF" w:val="clear"/>
            <w:vAlign w:val="center"/>
          </w:tcPr>
          <w:p>
            <w:pPr>
              <w:pStyle w:val="TableContents"/>
              <w:spacing w:before="0" w:after="1"/>
              <w:ind w:left="0" w:right="0" w:hanging="0"/>
              <w:jc w:val="right"/>
              <w:rPr/>
            </w:pPr>
            <w:r>
              <w:rPr/>
              <w:t>​</w:t>
            </w:r>
          </w:p>
        </w:tc>
        <w:tc>
          <w:tcPr>
            <w:tcW w:w="77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20,535</w:t>
            </w:r>
          </w:p>
        </w:tc>
        <w:tc>
          <w:tcPr>
            <w:tcW w:w="326" w:type="dxa"/>
            <w:tcBorders/>
            <w:shd w:fill="CCEEFF" w:val="clear"/>
            <w:vAlign w:val="center"/>
          </w:tcPr>
          <w:p>
            <w:pPr>
              <w:pStyle w:val="TableContents"/>
              <w:spacing w:before="0" w:after="1"/>
              <w:ind w:left="0" w:right="0" w:hanging="0"/>
              <w:rPr/>
            </w:pPr>
            <w:r>
              <w:rPr/>
              <w:t> </w:t>
            </w:r>
          </w:p>
        </w:tc>
        <w:tc>
          <w:tcPr>
            <w:tcW w:w="51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7277"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deemed distribution to related parties per consolidated statements of cash flows</w:t>
            </w:r>
          </w:p>
        </w:tc>
        <w:tc>
          <w:tcPr>
            <w:tcW w:w="326" w:type="dxa"/>
            <w:tcBorders/>
            <w:shd w:fill="auto" w:val="clear"/>
            <w:vAlign w:val="center"/>
          </w:tcPr>
          <w:p>
            <w:pPr>
              <w:pStyle w:val="TableContents"/>
              <w:spacing w:before="0" w:after="1"/>
              <w:ind w:left="0" w:right="0" w:hanging="0"/>
              <w:rPr/>
            </w:pPr>
            <w:r>
              <w:rPr/>
              <w:t> </w:t>
            </w:r>
          </w:p>
        </w:tc>
        <w:tc>
          <w:tcPr>
            <w:tcW w:w="88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(394,772)</w:t>
            </w:r>
          </w:p>
        </w:tc>
        <w:tc>
          <w:tcPr>
            <w:tcW w:w="109" w:type="dxa"/>
            <w:tcBorders/>
            <w:shd w:fill="auto" w:val="clear"/>
            <w:vAlign w:val="center"/>
          </w:tcPr>
          <w:p>
            <w:pPr>
              <w:pStyle w:val="TableContents"/>
              <w:spacing w:before="0" w:after="1"/>
              <w:ind w:left="0" w:right="0" w:hanging="0"/>
              <w:jc w:val="right"/>
              <w:rPr/>
            </w:pPr>
            <w:r>
              <w:rPr/>
              <w:t>​</w:t>
            </w:r>
          </w:p>
        </w:tc>
        <w:tc>
          <w:tcPr>
            <w:tcW w:w="77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(10,943)</w:t>
            </w:r>
          </w:p>
        </w:tc>
        <w:tc>
          <w:tcPr>
            <w:tcW w:w="326" w:type="dxa"/>
            <w:tcBorders/>
            <w:shd w:fill="auto" w:val="clear"/>
            <w:vAlign w:val="center"/>
          </w:tcPr>
          <w:p>
            <w:pPr>
              <w:pStyle w:val="TableContents"/>
              <w:spacing w:before="0" w:after="1"/>
              <w:ind w:left="0" w:right="0" w:hanging="0"/>
              <w:rPr/>
            </w:pPr>
            <w:r>
              <w:rPr/>
              <w:t> </w:t>
            </w:r>
          </w:p>
        </w:tc>
        <w:tc>
          <w:tcPr>
            <w:tcW w:w="512"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firstLine="360"/>
        <w:jc w:val="both"/>
        <w:rPr/>
      </w:pPr>
      <w:r>
        <w:rPr/>
        <w:t>​</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Balances and transactions with Bitmain and BTC</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2021 and 2022, balances with Bitmain and BTC are nil.</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Transactions with Bitmain and BTC before the completion date of the Reorganization were disclosed as below:</w:t>
      </w:r>
    </w:p>
    <w:p>
      <w:pPr>
        <w:pStyle w:val="TextBody"/>
        <w:spacing w:before="0" w:after="0"/>
        <w:ind w:left="0" w:right="0" w:hanging="0"/>
        <w:rPr/>
      </w:pPr>
      <w:r>
        <w:rPr/>
        <w:t>​</w:t>
      </w:r>
    </w:p>
    <w:tbl>
      <w:tblPr>
        <w:tblW w:w="5535" w:type="dxa"/>
        <w:jc w:val="left"/>
        <w:tblInd w:w="0" w:type="dxa"/>
        <w:tblCellMar>
          <w:top w:w="0" w:type="dxa"/>
          <w:left w:w="0" w:type="dxa"/>
          <w:bottom w:w="0" w:type="dxa"/>
          <w:right w:w="0" w:type="dxa"/>
        </w:tblCellMar>
      </w:tblPr>
      <w:tblGrid>
        <w:gridCol w:w="2911"/>
        <w:gridCol w:w="326"/>
        <w:gridCol w:w="676"/>
        <w:gridCol w:w="109"/>
        <w:gridCol w:w="676"/>
        <w:gridCol w:w="326"/>
        <w:gridCol w:w="511"/>
      </w:tblGrid>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9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911" w:type="dxa"/>
            <w:tcBorders/>
            <w:shd w:fill="auto" w:val="clear"/>
            <w:vAlign w:val="center"/>
          </w:tcPr>
          <w:p>
            <w:pPr>
              <w:pStyle w:val="TableContents"/>
              <w:pBdr/>
              <w:spacing w:before="0" w:after="1"/>
              <w:ind w:left="0" w:right="0" w:hanging="0"/>
              <w:rPr>
                <w:rFonts w:ascii="Times New Roman;Times;serif" w:hAnsi="Times New Roman;Times;serif"/>
                <w:b/>
                <w:color w:val="231F20"/>
                <w:sz w:val="16"/>
              </w:rPr>
            </w:pPr>
            <w:r>
              <w:rPr>
                <w:rFonts w:ascii="Times New Roman;Times;serif" w:hAnsi="Times New Roman;Times;serif"/>
                <w:b/>
                <w:color w:val="231F20"/>
                <w:sz w:val="16"/>
              </w:rPr>
              <w:t>In thousands of USD</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109" w:type="dxa"/>
            <w:tcBorders/>
            <w:shd w:fill="auto" w:val="clear"/>
            <w:vAlign w:val="center"/>
          </w:tcPr>
          <w:p>
            <w:pPr>
              <w:pStyle w:val="TableContents"/>
              <w:spacing w:before="0" w:after="1"/>
              <w:ind w:left="0" w:right="0" w:hanging="0"/>
              <w:jc w:val="center"/>
              <w:rPr>
                <w:color w:val="231F20"/>
              </w:rPr>
            </w:pPr>
            <w:r>
              <w:rPr>
                <w:color w:val="231F20"/>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2911"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Revenue from Bitmain and BTC</w:t>
            </w:r>
            <w:r>
              <w:rPr>
                <w:rFonts w:ascii="Times New Roman;Times;serif" w:hAnsi="Times New Roman;Times;serif"/>
                <w:color w:val="231F20"/>
                <w:sz w:val="15"/>
              </w:rPr>
              <w:t>(1)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88,054</w:t>
            </w:r>
          </w:p>
        </w:tc>
        <w:tc>
          <w:tcPr>
            <w:tcW w:w="109" w:type="dxa"/>
            <w:tcBorders/>
            <w:shd w:fill="CCEEFF" w:val="clear"/>
            <w:vAlign w:val="center"/>
          </w:tcPr>
          <w:p>
            <w:pPr>
              <w:pStyle w:val="TableContents"/>
              <w:spacing w:before="0" w:after="1"/>
              <w:ind w:left="0" w:right="0" w:hanging="0"/>
              <w:jc w:val="right"/>
              <w:rPr>
                <w:color w:val="231F20"/>
              </w:rPr>
            </w:pPr>
            <w:r>
              <w:rPr>
                <w:color w:val="231F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73,522</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11" w:type="dxa"/>
            <w:tcBorders>
              <w:bottom w:val="double" w:sz="6" w:space="0" w:color="000000"/>
            </w:tcBorders>
            <w:shd w:fill="CCEEFF" w:val="clear"/>
            <w:tcMar>
              <w:bottom w:w="28" w:type="dxa"/>
            </w:tcMar>
            <w:vAlign w:val="center"/>
          </w:tcPr>
          <w:p>
            <w:pPr>
              <w:pStyle w:val="TableContents"/>
              <w:spacing w:before="0" w:after="1"/>
              <w:ind w:left="0" w:right="60" w:hanging="0"/>
              <w:jc w:val="right"/>
              <w:rPr>
                <w:color w:val="231F20"/>
              </w:rPr>
            </w:pPr>
            <w:r>
              <w:rPr>
                <w:color w:val="231F20"/>
              </w:rPr>
              <w:t>—</w:t>
            </w:r>
          </w:p>
        </w:tc>
      </w:tr>
    </w:tbl>
    <w:p>
      <w:pPr>
        <w:pStyle w:val="TextBody"/>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w:t>
      </w:r>
      <w:r>
        <w:rPr>
          <w:rFonts w:ascii="Times New Roman;Times;serif" w:hAnsi="Times New Roman;Times;serif"/>
          <w:color w:val="231F20"/>
          <w:sz w:val="20"/>
        </w:rPr>
        <w:t>Revenue from Bitmain and BTC arise from the Group’s normal course of business, See Note 2.</w:t>
      </w:r>
    </w:p>
    <w:p>
      <w:pPr>
        <w:pStyle w:val="TextBody"/>
        <w:spacing w:before="0" w:after="240"/>
        <w:ind w:left="0" w:right="0" w:hanging="0"/>
        <w:jc w:val="both"/>
        <w:rPr>
          <w:color w:val="231F20"/>
        </w:rPr>
      </w:pPr>
      <w:r>
        <w:rPr>
          <w:color w:val="231F20"/>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related party balances and transactions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set forth other significant related parties and their relationships with the Group:</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781"/>
        <w:gridCol w:w="326"/>
        <w:gridCol w:w="6098"/>
      </w:tblGrid>
      <w:tr>
        <w:trPr/>
        <w:tc>
          <w:tcPr>
            <w:tcW w:w="3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400935" cy="175260"/>
                      <wp:effectExtent l="0" t="0" r="0" b="0"/>
                      <wp:wrapNone/>
                      <wp:docPr id="438" name="Frame437"/>
                      <a:graphic xmlns:a="http://schemas.openxmlformats.org/drawingml/2006/main">
                        <a:graphicData uri="http://schemas.microsoft.com/office/word/2010/wordprocessingShape">
                          <wps:wsp>
                            <wps:cNvSpPr txBox="1"/>
                            <wps:spPr>
                              <a:xfrm>
                                <a:off x="0" y="0"/>
                                <a:ext cx="2400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6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872230" cy="175260"/>
                      <wp:effectExtent l="0" t="0" r="0" b="0"/>
                      <wp:wrapNone/>
                      <wp:docPr id="439" name="Frame438"/>
                      <a:graphic xmlns:a="http://schemas.openxmlformats.org/drawingml/2006/main">
                        <a:graphicData uri="http://schemas.microsoft.com/office/word/2010/wordprocessingShape">
                          <wps:wsp>
                            <wps:cNvSpPr txBox="1"/>
                            <wps:spPr>
                              <a:xfrm>
                                <a:off x="0" y="0"/>
                                <a:ext cx="3872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81" w:type="dxa"/>
            <w:tcBorders>
              <w:bottom w:val="single" w:sz="2" w:space="0" w:color="000000"/>
            </w:tcBorders>
            <w:shd w:fill="auto" w:val="clear"/>
            <w:tcMar>
              <w:bottom w:w="28" w:type="dxa"/>
            </w:tcM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Name of related parties</w:t>
            </w:r>
          </w:p>
        </w:tc>
        <w:tc>
          <w:tcPr>
            <w:tcW w:w="326" w:type="dxa"/>
            <w:tcBorders/>
            <w:shd w:fill="auto" w:val="clear"/>
            <w:vAlign w:val="center"/>
          </w:tcPr>
          <w:p>
            <w:pPr>
              <w:pStyle w:val="TableContents"/>
              <w:spacing w:before="0" w:after="0"/>
              <w:ind w:left="0" w:right="0" w:hanging="0"/>
              <w:jc w:val="center"/>
              <w:rPr/>
            </w:pPr>
            <w:r>
              <w:rPr/>
              <w:t>    </w:t>
            </w:r>
          </w:p>
        </w:tc>
        <w:tc>
          <w:tcPr>
            <w:tcW w:w="60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3781"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Matrix Finance and Technologies Holding Group and its subsidiaries (“Matrixport Group”)</w:t>
            </w:r>
          </w:p>
        </w:tc>
        <w:tc>
          <w:tcPr>
            <w:tcW w:w="326" w:type="dxa"/>
            <w:tcBorders/>
            <w:shd w:fill="CCEEFF" w:val="clear"/>
            <w:vAlign w:val="center"/>
          </w:tcPr>
          <w:p>
            <w:pPr>
              <w:pStyle w:val="TableContents"/>
              <w:spacing w:before="0" w:after="0"/>
              <w:ind w:left="0" w:right="0" w:hanging="0"/>
              <w:rPr/>
            </w:pPr>
            <w:r>
              <w:rPr/>
              <w:t>​</w:t>
            </w:r>
          </w:p>
        </w:tc>
        <w:tc>
          <w:tcPr>
            <w:tcW w:w="6098" w:type="dxa"/>
            <w:tcBorders>
              <w:top w:val="single" w:sz="2" w:space="0" w:color="000000"/>
            </w:tcBorders>
            <w:shd w:fill="CCEEFF" w:val="clear"/>
            <w:tcMar>
              <w:top w:w="28" w:type="dxa"/>
            </w:tcMar>
            <w:vAlign w:val="center"/>
          </w:tcPr>
          <w:p>
            <w:pPr>
              <w:pStyle w:val="TableContents"/>
              <w:pBdr/>
              <w:spacing w:before="0" w:after="0"/>
              <w:ind w:left="0" w:right="0" w:hanging="144"/>
              <w:rPr>
                <w:rFonts w:ascii="Times New Roman;Times;serif" w:hAnsi="Times New Roman;Times;serif"/>
                <w:sz w:val="20"/>
              </w:rPr>
            </w:pPr>
            <w:r>
              <w:rPr>
                <w:rFonts w:ascii="Times New Roman;Times;serif" w:hAnsi="Times New Roman;Times;serif"/>
                <w:sz w:val="20"/>
              </w:rPr>
              <w:t>The Group’s controlling person is the co-founder and chairman of the board of directors of Matrixport Group and has significant influence over Matrixport Group.</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jc w:val="both"/>
        <w:rPr>
          <w:rFonts w:ascii="Times New Roman;Times;serif" w:hAnsi="Times New Roman;Times;serif"/>
          <w:sz w:val="20"/>
        </w:rPr>
      </w:pPr>
      <w:bookmarkStart w:id="1885" w:name="Tc_DooD-8YKZ0WPk5COIxFNjA_7_4"/>
      <w:bookmarkStart w:id="1886" w:name="Tc_mI-D5-gsMkSk21rFkX5AGQ_7_2"/>
      <w:bookmarkStart w:id="1887" w:name="Tc_LByrubI08U6AeTX1pbf3AQ_7_0"/>
      <w:bookmarkStart w:id="1888" w:name="Tc_X2I3juGwrEqTEZ186K-LQA_6_2"/>
      <w:bookmarkStart w:id="1889" w:name="Tc_7nOWhhH4KE28nWI-FqvbCQ_6_0"/>
      <w:bookmarkStart w:id="1890" w:name="Tc_YNvbsY9ZEEuAec9lf4TeWg_5_2"/>
      <w:bookmarkStart w:id="1891" w:name="Tc_4L5oke1v0kisTyCcdjsB7w_5_0"/>
      <w:bookmarkStart w:id="1892" w:name="Tc_5mcJQLCyPUCg7vvzWBqeXg_4_2"/>
      <w:bookmarkStart w:id="1893" w:name="Tc_NHa11iNYiEqpQB0fKnlJkw_4_0"/>
      <w:bookmarkStart w:id="1894" w:name="Tc_9xd1BvzNqEu9PDF4E1cdqQ_3_2"/>
      <w:bookmarkStart w:id="1895" w:name="Tc_rqo-EfyIP0mM9MwviN0HMQ_3_0"/>
      <w:bookmarkStart w:id="1896" w:name="Tc_UO4VQZhs-0mHz0msYjpXHA_2_6"/>
      <w:bookmarkStart w:id="1897" w:name="Tc_LLkwzjbyFk2K2mBVSj0v6A_2_4"/>
      <w:bookmarkStart w:id="1898" w:name="Tc_aiEKlFAzykaFih953Hd8kg_2_2"/>
      <w:bookmarkStart w:id="1899" w:name="Tc_yNCG5MWp_kuDX2aekA9FFg_2_0"/>
      <w:bookmarkStart w:id="1900" w:name="Tc_7BHFehNoOkmiRGa7X3etXQ_1_2"/>
      <w:bookmarkStart w:id="1901" w:name="_86e0882a_e6d1_48e6_96fd_2554da81305f"/>
      <w:bookmarkStart w:id="1902" w:name="Tc__uWOMgx0okWt100Gy7O7CA_10_0"/>
      <w:bookmarkStart w:id="1903" w:name="Tc_UHeR-2pblEWlBoI-tYyKPQ_9_0"/>
      <w:bookmarkStart w:id="1904" w:name="Tc_KpMOf9WG10-9Pf9MuDJHGQ_8_0"/>
      <w:bookmarkStart w:id="1905" w:name="Tc_ZjPC788ovkG9dm7Y99Np-g_6_0"/>
      <w:bookmarkStart w:id="1906" w:name="Tc_ahMFBVUfwEypW7kBLm6f1A_5_0"/>
      <w:bookmarkStart w:id="1907" w:name="Tc_ffIae3sE7EmLYNsFvbXf2Q_4_0"/>
      <w:bookmarkStart w:id="1908" w:name="Tc_3YOFtYD5oUmNbhrwkz7wTA_3_0"/>
      <w:bookmarkStart w:id="1909" w:name="Tc_nS_lHq6YIky3c-G1y963jQ_2_4"/>
      <w:bookmarkStart w:id="1910" w:name="Tc_XH_XH2tSB06b-mwrBHS4LQ_2_2"/>
      <w:bookmarkStart w:id="1911" w:name="Tc_Ov5scmuxt0OeND5Y-szOmA_2_0"/>
      <w:bookmarkStart w:id="1912" w:name="Tc_9lt_rGdROkeJO1cKbNmnnA_1_2"/>
      <w:bookmarkStart w:id="1913" w:name="_ab47ffd6_a638_4751_aaa0_ff6e19753ce7"/>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r>
        <w:rPr>
          <w:rFonts w:ascii="Times New Roman;Times;serif" w:hAnsi="Times New Roman;Times;serif"/>
          <w:sz w:val="20"/>
        </w:rPr>
        <w:t>Details of due from related party are as follows:</w:t>
      </w:r>
    </w:p>
    <w:tbl>
      <w:tblPr>
        <w:tblW w:w="4300" w:type="dxa"/>
        <w:jc w:val="left"/>
        <w:tblInd w:w="0" w:type="dxa"/>
        <w:tblCellMar>
          <w:top w:w="0" w:type="dxa"/>
          <w:left w:w="0" w:type="dxa"/>
          <w:bottom w:w="0" w:type="dxa"/>
          <w:right w:w="0" w:type="dxa"/>
        </w:tblCellMar>
      </w:tblPr>
      <w:tblGrid>
        <w:gridCol w:w="2551"/>
        <w:gridCol w:w="326"/>
        <w:gridCol w:w="571"/>
        <w:gridCol w:w="326"/>
        <w:gridCol w:w="52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619885" cy="175260"/>
                      <wp:effectExtent l="0" t="0" r="0" b="0"/>
                      <wp:wrapNone/>
                      <wp:docPr id="440" name="Frame439"/>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62585" cy="175260"/>
                      <wp:effectExtent l="0" t="0" r="0" b="0"/>
                      <wp:wrapNone/>
                      <wp:docPr id="442" name="Frame44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34010" cy="175260"/>
                      <wp:effectExtent l="0" t="0" r="0" b="0"/>
                      <wp:wrapNone/>
                      <wp:docPr id="444" name="Frame443"/>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2551" w:type="dxa"/>
            <w:tcBorders/>
            <w:shd w:fill="auto" w:val="clear"/>
            <w:vAlign w:val="center"/>
          </w:tcPr>
          <w:p>
            <w:pPr>
              <w:pStyle w:val="TableContents"/>
              <w:pBdr/>
              <w:spacing w:before="0" w:after="1"/>
              <w:ind w:left="0" w:right="0" w:hanging="0"/>
              <w:rPr>
                <w:rFonts w:ascii="Times New Roman;Times;serif" w:hAnsi="Times New Roman;Times;serif"/>
                <w:b/>
                <w:color w:val="231F20"/>
                <w:sz w:val="16"/>
              </w:rPr>
            </w:pPr>
            <w:r>
              <w:rPr>
                <w:rFonts w:ascii="Times New Roman;Times;serif" w:hAnsi="Times New Roman;Times;serif"/>
                <w:b/>
                <w:color w:val="231F20"/>
                <w:sz w:val="16"/>
              </w:rPr>
              <w:t>In thousands of USD</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2551"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Due from related party</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right"/>
              <w:rPr/>
            </w:pPr>
            <w:r>
              <w:rPr/>
              <w:t>  </w:t>
            </w:r>
          </w:p>
        </w:tc>
      </w:tr>
      <w:tr>
        <w:trPr/>
        <w:tc>
          <w:tcPr>
            <w:tcW w:w="255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231F20"/>
                <w:sz w:val="20"/>
              </w:rPr>
              <w:t xml:space="preserve"> Trade receivables</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551"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231F20"/>
                <w:sz w:val="20"/>
              </w:rPr>
              <w:t xml:space="preserve"> Loans to a related party</w:t>
            </w:r>
            <w:r>
              <w:rPr>
                <w:rFonts w:ascii="Times New Roman;Times;serif" w:hAnsi="Times New Roman;Times;serif"/>
                <w:color w:val="231F20"/>
                <w:sz w:val="15"/>
              </w:rPr>
              <w:t>(1)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1,087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322</w:t>
            </w:r>
          </w:p>
        </w:tc>
      </w:tr>
      <w:tr>
        <w:trPr/>
        <w:tc>
          <w:tcPr>
            <w:tcW w:w="2551" w:type="dxa"/>
            <w:tcBorders/>
            <w:shd w:fill="auto"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Total due from related party</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1,500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5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397</w:t>
            </w:r>
          </w:p>
        </w:tc>
      </w:tr>
      <w:tr>
        <w:trPr/>
        <w:tc>
          <w:tcPr>
            <w:tcW w:w="2551" w:type="dxa"/>
            <w:tcBorders/>
            <w:shd w:fill="CCEEFF" w:val="clear"/>
            <w:vAlign w:val="center"/>
          </w:tcPr>
          <w:p>
            <w:pPr>
              <w:pStyle w:val="TableContents"/>
              <w:spacing w:before="0" w:after="1"/>
              <w:ind w:left="0" w:right="0" w:hanging="0"/>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57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526"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255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 xml:space="preserve">Due to related party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57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526"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2551"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sz w:val="20"/>
              </w:rPr>
              <w:t>- Other payables</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316</w:t>
            </w:r>
          </w:p>
        </w:tc>
      </w:tr>
      <w:tr>
        <w:trPr/>
        <w:tc>
          <w:tcPr>
            <w:tcW w:w="255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due to related party</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52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316</w:t>
            </w:r>
          </w:p>
        </w:tc>
      </w:tr>
    </w:tbl>
    <w:p>
      <w:pPr>
        <w:pStyle w:val="TextBody"/>
        <w:spacing w:before="0" w:after="240"/>
        <w:ind w:left="360" w:right="0" w:hanging="0"/>
        <w:jc w:val="both"/>
        <w:rPr>
          <w:rFonts w:ascii="Times New Roman;Times;serif" w:hAnsi="Times New Roman;Times;serif"/>
          <w:color w:val="231F20"/>
          <w:sz w:val="20"/>
        </w:rPr>
      </w:pPr>
      <w:r>
        <w:rPr>
          <w:rFonts w:ascii="Times New Roman;Times;serif" w:hAnsi="Times New Roman;Times;serif"/>
          <w:color w:val="231F20"/>
          <w:sz w:val="20"/>
        </w:rPr>
        <w:t>(1)Loans to a related party represent unsecured, interest-free loans made to the related party. These loans are due on demand.</w:t>
      </w:r>
    </w:p>
    <w:p>
      <w:pPr>
        <w:pStyle w:val="TextBody"/>
        <w:ind w:left="360" w:right="0" w:hanging="0"/>
        <w:jc w:val="both"/>
        <w:rPr>
          <w:rFonts w:ascii="Times New Roman;Times;serif" w:hAnsi="Times New Roman;Times;serif"/>
          <w:color w:val="231F20"/>
          <w:sz w:val="20"/>
        </w:rPr>
      </w:pPr>
      <w:r>
        <w:rPr>
          <w:rFonts w:ascii="Times New Roman;Times;serif" w:hAnsi="Times New Roman;Times;serif"/>
          <w:color w:val="231F20"/>
          <w:sz w:val="20"/>
        </w:rPr>
        <w:t>(2)Other payables represent the accrued service expense related to the custody and other services provided by the related party.</w:t>
      </w:r>
    </w:p>
    <w:p>
      <w:pPr>
        <w:pStyle w:val="TextBody"/>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Details of transactions with the related party are as follows:</w:t>
      </w:r>
    </w:p>
    <w:tbl>
      <w:tblPr>
        <w:tblW w:w="8591" w:type="dxa"/>
        <w:jc w:val="left"/>
        <w:tblInd w:w="0" w:type="dxa"/>
        <w:tblCellMar>
          <w:top w:w="0" w:type="dxa"/>
          <w:left w:w="0" w:type="dxa"/>
          <w:bottom w:w="0" w:type="dxa"/>
          <w:right w:w="0" w:type="dxa"/>
        </w:tblCellMar>
      </w:tblPr>
      <w:tblGrid>
        <w:gridCol w:w="6196"/>
        <w:gridCol w:w="326"/>
        <w:gridCol w:w="495"/>
        <w:gridCol w:w="155"/>
        <w:gridCol w:w="607"/>
        <w:gridCol w:w="155"/>
        <w:gridCol w:w="657"/>
      </w:tblGrid>
      <w:tr>
        <w:trPr/>
        <w:tc>
          <w:tcPr>
            <w:tcW w:w="6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934460" cy="175260"/>
                      <wp:effectExtent l="0" t="0" r="0" b="0"/>
                      <wp:wrapNone/>
                      <wp:docPr id="445" name="Frame444"/>
                      <a:graphic xmlns:a="http://schemas.openxmlformats.org/drawingml/2006/main">
                        <a:graphicData uri="http://schemas.microsoft.com/office/word/2010/wordprocessingShape">
                          <wps:wsp>
                            <wps:cNvSpPr txBox="1"/>
                            <wps:spPr>
                              <a:xfrm>
                                <a:off x="0" y="0"/>
                                <a:ext cx="393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14325" cy="175260"/>
                      <wp:effectExtent l="0" t="0" r="0" b="0"/>
                      <wp:wrapNone/>
                      <wp:docPr id="447" name="Frame446"/>
                      <a:graphic xmlns:a="http://schemas.openxmlformats.org/drawingml/2006/main">
                        <a:graphicData uri="http://schemas.microsoft.com/office/word/2010/wordprocessingShape">
                          <wps:wsp>
                            <wps:cNvSpPr txBox="1"/>
                            <wps:spPr>
                              <a:xfrm>
                                <a:off x="0" y="0"/>
                                <a:ext cx="314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98425" cy="175260"/>
                      <wp:effectExtent l="0" t="0" r="0" b="0"/>
                      <wp:wrapNone/>
                      <wp:docPr id="448" name="Frame447"/>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85445" cy="175260"/>
                      <wp:effectExtent l="0" t="0" r="0" b="0"/>
                      <wp:wrapNone/>
                      <wp:docPr id="449" name="Frame448"/>
                      <a:graphic xmlns:a="http://schemas.openxmlformats.org/drawingml/2006/main">
                        <a:graphicData uri="http://schemas.microsoft.com/office/word/2010/wordprocessingShape">
                          <wps:wsp>
                            <wps:cNvSpPr txBox="1"/>
                            <wps:spPr>
                              <a:xfrm>
                                <a:off x="0" y="0"/>
                                <a:ext cx="385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98425" cy="175260"/>
                      <wp:effectExtent l="0" t="0" r="0" b="0"/>
                      <wp:wrapNone/>
                      <wp:docPr id="450" name="Frame449"/>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17195" cy="175260"/>
                      <wp:effectExtent l="0" t="0" r="0" b="0"/>
                      <wp:wrapNone/>
                      <wp:docPr id="451" name="Frame450"/>
                      <a:graphic xmlns:a="http://schemas.openxmlformats.org/drawingml/2006/main">
                        <a:graphicData uri="http://schemas.microsoft.com/office/word/2010/wordprocessingShape">
                          <wps:wsp>
                            <wps:cNvSpPr txBox="1"/>
                            <wps:spPr>
                              <a:xfrm>
                                <a:off x="0" y="0"/>
                                <a:ext cx="417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6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19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    </w:t>
            </w:r>
          </w:p>
        </w:tc>
        <w:tc>
          <w:tcPr>
            <w:tcW w:w="49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5" w:type="dxa"/>
            <w:tcBorders/>
            <w:shd w:fill="auto" w:val="clear"/>
            <w:vAlign w:val="center"/>
          </w:tcPr>
          <w:p>
            <w:pPr>
              <w:pStyle w:val="TableContents"/>
              <w:spacing w:before="0" w:after="0"/>
              <w:ind w:left="0" w:right="0" w:hanging="0"/>
              <w:jc w:val="center"/>
              <w:rPr/>
            </w:pPr>
            <w:r>
              <w:rPr/>
              <w:t>​</w:t>
            </w:r>
          </w:p>
        </w:tc>
        <w:tc>
          <w:tcPr>
            <w:tcW w:w="6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5" w:type="dxa"/>
            <w:tcBorders/>
            <w:shd w:fill="auto" w:val="clear"/>
            <w:vAlign w:val="center"/>
          </w:tcPr>
          <w:p>
            <w:pPr>
              <w:pStyle w:val="TableContents"/>
              <w:spacing w:before="0" w:after="0"/>
              <w:ind w:left="0" w:right="0" w:hanging="0"/>
              <w:jc w:val="center"/>
              <w:rPr/>
            </w:pPr>
            <w:r>
              <w:rPr/>
              <w:t>​</w:t>
            </w:r>
          </w:p>
        </w:tc>
        <w:tc>
          <w:tcPr>
            <w:tcW w:w="65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Provide service to a related party</w:t>
            </w:r>
          </w:p>
        </w:tc>
        <w:tc>
          <w:tcPr>
            <w:tcW w:w="326"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155" w:type="dxa"/>
            <w:tcBorders/>
            <w:shd w:fill="CCEEFF" w:val="clear"/>
            <w:vAlign w:val="center"/>
          </w:tcPr>
          <w:p>
            <w:pPr>
              <w:pStyle w:val="TableContents"/>
              <w:spacing w:before="0" w:after="0"/>
              <w:ind w:left="0" w:right="0" w:hanging="0"/>
              <w:rPr/>
            </w:pPr>
            <w:r>
              <w:rPr/>
              <w:t> </w:t>
            </w:r>
          </w:p>
        </w:tc>
        <w:tc>
          <w:tcPr>
            <w:tcW w:w="6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3,076</w:t>
            </w:r>
          </w:p>
        </w:tc>
      </w:tr>
      <w:tr>
        <w:trPr/>
        <w:tc>
          <w:tcPr>
            <w:tcW w:w="6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Receive service from a related party</w:t>
            </w:r>
          </w:p>
        </w:tc>
        <w:tc>
          <w:tcPr>
            <w:tcW w:w="326" w:type="dxa"/>
            <w:tcBorders/>
            <w:shd w:fill="auto" w:val="clear"/>
            <w:vAlign w:val="center"/>
          </w:tcPr>
          <w:p>
            <w:pPr>
              <w:pStyle w:val="TableContents"/>
              <w:spacing w:before="0" w:after="0"/>
              <w:ind w:left="0" w:right="0" w:hanging="0"/>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 </w:t>
            </w:r>
          </w:p>
        </w:tc>
        <w:tc>
          <w:tcPr>
            <w:tcW w:w="6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55" w:type="dxa"/>
            <w:tcBorders/>
            <w:shd w:fill="auto" w:val="clear"/>
            <w:vAlign w:val="center"/>
          </w:tcPr>
          <w:p>
            <w:pPr>
              <w:pStyle w:val="TableContents"/>
              <w:spacing w:before="0" w:after="0"/>
              <w:ind w:left="0" w:right="0" w:hanging="0"/>
              <w:rPr/>
            </w:pPr>
            <w:r>
              <w:rPr/>
              <w:t> </w:t>
            </w:r>
          </w:p>
        </w:tc>
        <w:tc>
          <w:tcPr>
            <w:tcW w:w="6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6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Interest earned from a related party</w:t>
            </w:r>
          </w:p>
        </w:tc>
        <w:tc>
          <w:tcPr>
            <w:tcW w:w="326"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155" w:type="dxa"/>
            <w:tcBorders/>
            <w:shd w:fill="CCEEFF" w:val="clear"/>
            <w:vAlign w:val="center"/>
          </w:tcPr>
          <w:p>
            <w:pPr>
              <w:pStyle w:val="TableContents"/>
              <w:spacing w:before="0" w:after="0"/>
              <w:ind w:left="0" w:right="0" w:hanging="0"/>
              <w:rPr/>
            </w:pPr>
            <w:r>
              <w:rPr/>
              <w:t> </w:t>
            </w:r>
          </w:p>
        </w:tc>
        <w:tc>
          <w:tcPr>
            <w:tcW w:w="6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1,499</w:t>
            </w:r>
          </w:p>
        </w:tc>
      </w:tr>
      <w:tr>
        <w:trPr/>
        <w:tc>
          <w:tcPr>
            <w:tcW w:w="6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Return of wealth management products from a related party</w:t>
            </w:r>
          </w:p>
        </w:tc>
        <w:tc>
          <w:tcPr>
            <w:tcW w:w="326" w:type="dxa"/>
            <w:tcBorders/>
            <w:shd w:fill="auto" w:val="clear"/>
            <w:vAlign w:val="center"/>
          </w:tcPr>
          <w:p>
            <w:pPr>
              <w:pStyle w:val="TableContents"/>
              <w:spacing w:before="0" w:after="0"/>
              <w:ind w:left="0" w:right="0" w:hanging="0"/>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 </w:t>
            </w:r>
          </w:p>
        </w:tc>
        <w:tc>
          <w:tcPr>
            <w:tcW w:w="6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155" w:type="dxa"/>
            <w:tcBorders/>
            <w:shd w:fill="auto" w:val="clear"/>
            <w:vAlign w:val="center"/>
          </w:tcPr>
          <w:p>
            <w:pPr>
              <w:pStyle w:val="TableContents"/>
              <w:spacing w:before="0" w:after="0"/>
              <w:ind w:left="0" w:right="0" w:hanging="0"/>
              <w:rPr/>
            </w:pPr>
            <w:r>
              <w:rPr/>
              <w:t> </w:t>
            </w:r>
          </w:p>
        </w:tc>
        <w:tc>
          <w:tcPr>
            <w:tcW w:w="6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6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Changes in fair value of financial assets at fair value through profit or loss</w:t>
            </w:r>
          </w:p>
        </w:tc>
        <w:tc>
          <w:tcPr>
            <w:tcW w:w="326" w:type="dxa"/>
            <w:tcBorders/>
            <w:shd w:fill="CCEEFF" w:val="clear"/>
            <w:vAlign w:val="center"/>
          </w:tcPr>
          <w:p>
            <w:pPr>
              <w:pStyle w:val="TableContents"/>
              <w:spacing w:before="0" w:after="0"/>
              <w:ind w:left="0" w:right="0" w:hanging="0"/>
              <w:rPr/>
            </w:pPr>
            <w:r>
              <w:rPr/>
              <w:t> </w:t>
            </w:r>
          </w:p>
        </w:tc>
        <w:tc>
          <w:tcPr>
            <w:tcW w:w="495"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 </w:t>
            </w:r>
          </w:p>
        </w:tc>
        <w:tc>
          <w:tcPr>
            <w:tcW w:w="6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r>
    </w:tbl>
    <w:p>
      <w:pPr>
        <w:pStyle w:val="TextBody"/>
        <w:spacing w:before="0" w:after="0"/>
        <w:ind w:left="0" w:right="0" w:hanging="0"/>
        <w:jc w:val="both"/>
        <w:rPr>
          <w:color w:val="231F20"/>
        </w:rPr>
      </w:pPr>
      <w:r>
        <w:rPr>
          <w:color w:val="231F20"/>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2020, 2021 and 2022, substantially all of the Group’s cryptocurrencies were held in custody by Matrixport Group, and the Group’s disposal of cryptocurrencies, at spot price on the date of disposal, was primarily to Matrixport Group.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2021, the Group signed a loan agreement with Matrixport Group, pursuant to which the Group agreed to grant a revolving line of credit with a maximum amount of US$20 million charged with an annual interest of 12.5% by the Group, each tranche of credit utilized shall be repaid within 60 days. The credit line has expired, and the loan has been fully repaid in June 2021. The Group received an interest of approximately US$0.8 million associated with the loan.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2022, the Group signed an agreement with Matrixport Group, which is the general partner of a limited partnership set up by the Matrixport Group, to subscribe a limited partner interest in the limited partnership and the capital commitment is amounting to US$20 million. The Group does not have control over the limited partnership. As of December 31, 2022, the capital contribution made by the Group to the limited partnership is US $17 million. The Group recorded approximately US$952,000 loss on change in fair value of financial assets at fair value through profit or loss for the year ended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bookmarkStart w:id="1914" w:name="Tc_nKFQOKlEoEG60GH9lRMQbw_14_11"/>
      <w:bookmarkStart w:id="1915" w:name="Tc_kYp9-uGBj0aIum04jflFaA_14_8"/>
      <w:bookmarkStart w:id="1916" w:name="Tc_5L8FciHl4kqaBgS_AgXD-A_14_6"/>
      <w:bookmarkStart w:id="1917" w:name="Tc_agotGC0OPkWMnfs801u8iw_14_2"/>
      <w:bookmarkStart w:id="1918" w:name="Tc_I2ruMZt4bUyu5833hy-XSA_14_0"/>
      <w:bookmarkStart w:id="1919" w:name="Tc_i6l6q8mTTkyGg-TOQuxxDg_13_11"/>
      <w:bookmarkStart w:id="1920" w:name="Tc_bD8IdP9xLECTfRhHsL3Uog_13_8"/>
      <w:bookmarkStart w:id="1921" w:name="Tc_-P95qZvUHkadPRt-ND7Dhw_13_6"/>
      <w:bookmarkStart w:id="1922" w:name="Tc_1ccZQHGG_0qTjFAu0BoCfQ_13_2"/>
      <w:bookmarkStart w:id="1923" w:name="Tc_DUNWd7p51E2Q28oRhEld_g_13_0"/>
      <w:bookmarkStart w:id="1924" w:name="Tc_aZr--0Ot0UeMqGTvUUrlZg_12_11"/>
      <w:bookmarkStart w:id="1925" w:name="Tc_wzQyZ_EuaE-uOIrfnL7yHw_12_8"/>
      <w:bookmarkStart w:id="1926" w:name="Tc_z4Lmpt8POUiSzeYCuoTIHA_12_6"/>
      <w:bookmarkStart w:id="1927" w:name="Tc_IN8nZThEDEy9r8Db7qXWfw_12_2"/>
      <w:bookmarkStart w:id="1928" w:name="Tc_MPRxpymX50myao3V86ceXQ_12_0"/>
      <w:bookmarkStart w:id="1929" w:name="Tc_fUXYywydv0KI4Kz7bcalEQ_11_11"/>
      <w:bookmarkStart w:id="1930" w:name="Tc_TLVNKQNmpU6KijJU4gU2WQ_11_8"/>
      <w:bookmarkStart w:id="1931" w:name="Tc_VxuKfJeOf06TOmQhnz74qw_11_6"/>
      <w:bookmarkStart w:id="1932" w:name="Tc_iEm_GAg5DUyBX9Klz73Flw_11_2"/>
      <w:bookmarkStart w:id="1933" w:name="Tc_Ut52RAY_q0WkcGquwqig2g_11_0"/>
      <w:bookmarkStart w:id="1934" w:name="Tc_7XsQra9OZk6R-STGIpDyOQ_10_11"/>
      <w:bookmarkStart w:id="1935" w:name="Tc_E-5_ETeLhEq-rdkkXe94Kw_10_8"/>
      <w:bookmarkStart w:id="1936" w:name="Tc_QeZvz0hWRUmZHiftoWe8kg_10_6"/>
      <w:bookmarkStart w:id="1937" w:name="Tc_i6qygPocjEeZLkPAOvOvsw_10_2"/>
      <w:bookmarkStart w:id="1938" w:name="Tc_n0vAQMEeNkamnEVcAs8utQ_10_0"/>
      <w:bookmarkStart w:id="1939" w:name="Tc_iKsmIyaVKEe7HYbRTAFIAg_9_11"/>
      <w:bookmarkStart w:id="1940" w:name="Tc_pBGq2ilHJk6FtROtd0hcVw_9_8"/>
      <w:bookmarkStart w:id="1941" w:name="Tc_ldn5SXHOr0OoQcyAhsN_xg_9_6"/>
      <w:bookmarkStart w:id="1942" w:name="Tc_rf2eX2N030SQiR0t1rVRbw_9_2"/>
      <w:bookmarkStart w:id="1943" w:name="Tc_LwvNKIsMr0y0ZGGOZldXMQ_9_0"/>
      <w:bookmarkStart w:id="1944" w:name="Tc_g1P3Ca3ODk6HwM3Z_tS_TA_8_11"/>
      <w:bookmarkStart w:id="1945" w:name="Tc_3jurfkAEgUeuAmoH8bZFLQ_8_8"/>
      <w:bookmarkStart w:id="1946" w:name="Tc_J9FRwS5btEip9fCXNsDOCQ_8_6"/>
      <w:bookmarkStart w:id="1947" w:name="Tc_KJQ_kSRPr0mx1bYSWaxB3w_8_2"/>
      <w:bookmarkStart w:id="1948" w:name="Tc_xLaHPvwuP0ST1-wK8m3_Wg_8_0"/>
      <w:bookmarkStart w:id="1949" w:name="Tc_68IwRgMwnE-L0cNp4EVUYg_7_11"/>
      <w:bookmarkStart w:id="1950" w:name="Tc_epAOoVLzOUeQTq2ljbHbFQ_7_8"/>
      <w:bookmarkStart w:id="1951" w:name="Tc_pzrmL2Tw5kakVuhVwcKa3g_7_6"/>
      <w:bookmarkStart w:id="1952" w:name="Tc_lByum-p420qe6JPTmcvXjQ_7_2"/>
      <w:bookmarkStart w:id="1953" w:name="Tc_ys02DGcDDkizlmCl7DIJoQ_7_0"/>
      <w:bookmarkStart w:id="1954" w:name="Tc_zALN9Mc1wEebQ4UG-T6fJQ_6_11"/>
      <w:bookmarkStart w:id="1955" w:name="Tc_C0v3JwwP1EicH3Xb9PpA-Q_6_8"/>
      <w:bookmarkStart w:id="1956" w:name="Tc_69SvIux8-0WV6o1g63Kuyw_6_6"/>
      <w:bookmarkStart w:id="1957" w:name="Tc_4YCggdA1-k6PZXd4ACUQxw_6_2"/>
      <w:bookmarkStart w:id="1958" w:name="Tc_FpOLZrGkTE2Jeyy0Z0HPBQ_6_0"/>
      <w:bookmarkStart w:id="1959" w:name="Tc_5eRNE02ilkyAfYSdk-OECQ_5_11"/>
      <w:bookmarkStart w:id="1960" w:name="Tc_srohUFbebk6m02Hp6WculQ_5_8"/>
      <w:bookmarkStart w:id="1961" w:name="Tc_lnjRaP4CUky10jzpiU38uw_5_6"/>
      <w:bookmarkStart w:id="1962" w:name="Tc_BIg1K6z5BE2oCTHc17K0ew_5_2"/>
      <w:bookmarkStart w:id="1963" w:name="Tc_QO_-d96ks0man9SE4u_WWA_5_0"/>
      <w:bookmarkStart w:id="1964" w:name="Tc_KNzumTUGoUigK0qJ3ZSF3A_4_11"/>
      <w:bookmarkStart w:id="1965" w:name="Tc_oBisya-IoEy191Y52KbH6Q_4_8"/>
      <w:bookmarkStart w:id="1966" w:name="Tc_qOlSLevfyEqe0aNJMYmm3w_4_6"/>
      <w:bookmarkStart w:id="1967" w:name="Tc_7bdLGLmi8UGMTM1045scQA_4_2"/>
      <w:bookmarkStart w:id="1968" w:name="Tc_H4tjRLSa0UOl36wsl6dTVg_4_0"/>
      <w:bookmarkStart w:id="1969" w:name="Tc_08Qcf79TXkmjPQGNeHC6RA_3_10"/>
      <w:bookmarkStart w:id="1970" w:name="Tc_qhTkN188bUSJHBYd6cmX8g_3_8"/>
      <w:bookmarkStart w:id="1971" w:name="Tc_znHZsm8240ODCEKRAL6XKw_3_6"/>
      <w:bookmarkStart w:id="1972" w:name="Tc_IIz8l_gpxkOAlm2ewxo7vw_3_4"/>
      <w:bookmarkStart w:id="1973" w:name="Tc_gG-XSMsL8kOVeK4WPRs2lQ_3_2"/>
      <w:bookmarkStart w:id="1974" w:name="Tc_3RiLOznb-0eiNXTocyQEHA_2_10"/>
      <w:bookmarkStart w:id="1975" w:name="Tc_VAz7cTt3u0ynSTkNscBgFA_2_8"/>
      <w:bookmarkStart w:id="1976" w:name="Tc_gAyHRXOcqkaNefs3btrraA_2_6"/>
      <w:bookmarkStart w:id="1977" w:name="Tc_RWEIMkjQg0OvJiK-zFIXtg_2_4"/>
      <w:bookmarkStart w:id="1978" w:name="Tc_FOBvzjlhskqLQV0PaBskOg_2_2"/>
      <w:bookmarkStart w:id="1979" w:name="Tc_hh6oirJayESLKQhPMCqnHg_1_10"/>
      <w:bookmarkStart w:id="1980" w:name="Tc_ZG3rhuV1wE6r8er5hMSCVg_1_8"/>
      <w:bookmarkStart w:id="1981" w:name="Tc__uZyhzNIKUauWCz4GKF1BA_1_6"/>
      <w:bookmarkStart w:id="1982" w:name="Tc_w73BBoBgX0uWE6YG0S2lwg_1_4"/>
      <w:bookmarkStart w:id="1983" w:name="_9005e503_6750_4e21_93e8_f343f0ec6a34"/>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r>
        <w:rPr>
          <w:rFonts w:ascii="Times New Roman;Times;serif" w:hAnsi="Times New Roman;Times;serif"/>
          <w:sz w:val="20"/>
        </w:rPr>
        <w:t>During the years ended December 31, 2021 and 2022, the Group made non-secured lending to, and purchased non-principal guaranteed wealth management products from Matrixport Group in cryptocurrencies. The summary of transactions is as follows:</w:t>
      </w:r>
    </w:p>
    <w:tbl>
      <w:tblPr>
        <w:tblW w:w="10205" w:type="dxa"/>
        <w:jc w:val="left"/>
        <w:tblInd w:w="0" w:type="dxa"/>
        <w:tblCellMar>
          <w:top w:w="0" w:type="dxa"/>
          <w:left w:w="0" w:type="dxa"/>
          <w:bottom w:w="0" w:type="dxa"/>
          <w:right w:w="0" w:type="dxa"/>
        </w:tblCellMar>
      </w:tblPr>
      <w:tblGrid>
        <w:gridCol w:w="1936"/>
        <w:gridCol w:w="326"/>
        <w:gridCol w:w="1231"/>
        <w:gridCol w:w="326"/>
        <w:gridCol w:w="1321"/>
        <w:gridCol w:w="326"/>
        <w:gridCol w:w="1219"/>
        <w:gridCol w:w="326"/>
        <w:gridCol w:w="1260"/>
        <w:gridCol w:w="326"/>
        <w:gridCol w:w="1291"/>
        <w:gridCol w:w="317"/>
      </w:tblGrid>
      <w:tr>
        <w:trPr/>
        <w:tc>
          <w:tcPr>
            <w:tcW w:w="1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229360" cy="175260"/>
                      <wp:effectExtent l="0" t="0" r="0" b="0"/>
                      <wp:wrapNone/>
                      <wp:docPr id="452" name="Frame451"/>
                      <a:graphic xmlns:a="http://schemas.openxmlformats.org/drawingml/2006/main">
                        <a:graphicData uri="http://schemas.microsoft.com/office/word/2010/wordprocessingShape">
                          <wps:wsp>
                            <wps:cNvSpPr txBox="1"/>
                            <wps:spPr>
                              <a:xfrm>
                                <a:off x="0" y="0"/>
                                <a:ext cx="1229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781685" cy="175260"/>
                      <wp:effectExtent l="0" t="0" r="0" b="0"/>
                      <wp:wrapNone/>
                      <wp:docPr id="454" name="Frame453"/>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838835" cy="175260"/>
                      <wp:effectExtent l="0" t="0" r="0" b="0"/>
                      <wp:wrapNone/>
                      <wp:docPr id="456" name="Frame455"/>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774065" cy="175260"/>
                      <wp:effectExtent l="0" t="0" r="0" b="0"/>
                      <wp:wrapNone/>
                      <wp:docPr id="458" name="Frame457"/>
                      <a:graphic xmlns:a="http://schemas.openxmlformats.org/drawingml/2006/main">
                        <a:graphicData uri="http://schemas.microsoft.com/office/word/2010/wordprocessingShape">
                          <wps:wsp>
                            <wps:cNvSpPr txBox="1"/>
                            <wps:spPr>
                              <a:xfrm>
                                <a:off x="0" y="0"/>
                                <a:ext cx="774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800100" cy="175260"/>
                      <wp:effectExtent l="0" t="0" r="0" b="0"/>
                      <wp:wrapNone/>
                      <wp:docPr id="460" name="Frame459"/>
                      <a:graphic xmlns:a="http://schemas.openxmlformats.org/drawingml/2006/main">
                        <a:graphicData uri="http://schemas.microsoft.com/office/word/2010/wordprocessingShape">
                          <wps:wsp>
                            <wps:cNvSpPr txBox="1"/>
                            <wps:spPr>
                              <a:xfrm>
                                <a:off x="0" y="0"/>
                                <a:ext cx="800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819785" cy="175260"/>
                      <wp:effectExtent l="0" t="0" r="0" b="0"/>
                      <wp:wrapNone/>
                      <wp:docPr id="462" name="Frame461"/>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1295" cy="175260"/>
                      <wp:effectExtent l="0" t="0" r="0" b="0"/>
                      <wp:wrapNone/>
                      <wp:docPr id="463" name="Frame462"/>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shd w:fill="auto" w:val="clear"/>
            <w:vAlign w:val="center"/>
          </w:tcPr>
          <w:p>
            <w:pPr>
              <w:pStyle w:val="TableContents"/>
              <w:spacing w:before="0" w:after="1"/>
              <w:ind w:left="0" w:right="0" w:hanging="0"/>
              <w:jc w:val="center"/>
              <w:rPr/>
            </w:pPr>
            <w:r>
              <w:rPr/>
              <w:t>    </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w:t>
            </w:r>
          </w:p>
        </w:tc>
        <w:tc>
          <w:tcPr>
            <w:tcW w:w="326" w:type="dxa"/>
            <w:tcBorders/>
            <w:shd w:fill="auto" w:val="clear"/>
            <w:vAlign w:val="center"/>
          </w:tcPr>
          <w:p>
            <w:pPr>
              <w:pStyle w:val="TableContents"/>
              <w:spacing w:before="0" w:after="1"/>
              <w:ind w:left="0" w:right="0" w:hanging="0"/>
              <w:jc w:val="center"/>
              <w:rPr/>
            </w:pPr>
            <w:r>
              <w:rPr/>
              <w:t>    </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 annual</w:t>
            </w:r>
          </w:p>
        </w:tc>
        <w:tc>
          <w:tcPr>
            <w:tcW w:w="317" w:type="dxa"/>
            <w:tcBorders/>
            <w:shd w:fill="auto" w:val="clear"/>
            <w:vAlign w:val="center"/>
          </w:tcPr>
          <w:p>
            <w:pPr>
              <w:pStyle w:val="TableContents"/>
              <w:spacing w:before="0" w:after="1"/>
              <w:ind w:left="0" w:right="0" w:hanging="0"/>
              <w:jc w:val="center"/>
              <w:rPr/>
            </w:pPr>
            <w:r>
              <w:rPr/>
              <w:t> </w:t>
            </w:r>
          </w:p>
        </w:tc>
      </w:tr>
      <w:tr>
        <w:trPr/>
        <w:tc>
          <w:tcPr>
            <w:tcW w:w="19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Type of </w:t>
            </w:r>
          </w:p>
        </w:tc>
        <w:tc>
          <w:tcPr>
            <w:tcW w:w="326" w:type="dxa"/>
            <w:tcBorders/>
            <w:shd w:fill="auto" w:val="clear"/>
            <w:vAlign w:val="center"/>
          </w:tcPr>
          <w:p>
            <w:pPr>
              <w:pStyle w:val="TableContents"/>
              <w:spacing w:before="0" w:after="1"/>
              <w:ind w:left="0" w:right="0" w:hanging="0"/>
              <w:jc w:val="center"/>
              <w:rPr/>
            </w:pPr>
            <w:r>
              <w:rPr/>
              <w:t>​</w:t>
            </w:r>
          </w:p>
        </w:tc>
        <w:tc>
          <w:tcPr>
            <w:tcW w:w="132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thousands of </w:t>
            </w:r>
          </w:p>
        </w:tc>
        <w:tc>
          <w:tcPr>
            <w:tcW w:w="326" w:type="dxa"/>
            <w:tcBorders/>
            <w:shd w:fill="auto" w:val="clear"/>
            <w:vAlign w:val="center"/>
          </w:tcPr>
          <w:p>
            <w:pPr>
              <w:pStyle w:val="TableContents"/>
              <w:spacing w:before="0" w:after="1"/>
              <w:ind w:left="0" w:right="0" w:hanging="0"/>
              <w:jc w:val="center"/>
              <w:rPr/>
            </w:pPr>
            <w:r>
              <w:rPr/>
              <w:t>​</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w:t>
            </w:r>
          </w:p>
        </w:tc>
        <w:tc>
          <w:tcPr>
            <w:tcW w:w="326" w:type="dxa"/>
            <w:tcBorders/>
            <w:shd w:fill="auto" w:val="clear"/>
            <w:vAlign w:val="center"/>
          </w:tcPr>
          <w:p>
            <w:pPr>
              <w:pStyle w:val="TableContents"/>
              <w:spacing w:before="0" w:after="1"/>
              <w:ind w:left="0" w:right="0" w:hanging="0"/>
              <w:jc w:val="center"/>
              <w:rPr/>
            </w:pPr>
            <w:r>
              <w:rPr/>
              <w:t>​</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yield of return/</w:t>
            </w:r>
          </w:p>
        </w:tc>
        <w:tc>
          <w:tcPr>
            <w:tcW w:w="317" w:type="dxa"/>
            <w:tcBorders/>
            <w:shd w:fill="auto" w:val="clear"/>
            <w:vAlign w:val="center"/>
          </w:tcPr>
          <w:p>
            <w:pPr>
              <w:pStyle w:val="TableContents"/>
              <w:spacing w:before="0" w:after="1"/>
              <w:ind w:left="0" w:right="0" w:hanging="0"/>
              <w:jc w:val="center"/>
              <w:rPr/>
            </w:pPr>
            <w:r>
              <w:rPr/>
              <w:t> </w:t>
            </w:r>
          </w:p>
        </w:tc>
      </w:tr>
      <w:tr>
        <w:trPr/>
        <w:tc>
          <w:tcPr>
            <w:tcW w:w="19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cryptocurrency</w:t>
            </w:r>
          </w:p>
        </w:tc>
        <w:tc>
          <w:tcPr>
            <w:tcW w:w="326" w:type="dxa"/>
            <w:tcBorders/>
            <w:shd w:fill="auto" w:val="clear"/>
            <w:vAlign w:val="center"/>
          </w:tcPr>
          <w:p>
            <w:pPr>
              <w:pStyle w:val="TableContents"/>
              <w:spacing w:before="0" w:after="1"/>
              <w:ind w:left="0" w:right="0" w:hanging="0"/>
              <w:jc w:val="center"/>
              <w:rPr/>
            </w:pPr>
            <w:r>
              <w:rPr/>
              <w:t>​</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cryptocurrencies</w:t>
            </w:r>
          </w:p>
        </w:tc>
        <w:tc>
          <w:tcPr>
            <w:tcW w:w="326" w:type="dxa"/>
            <w:tcBorders/>
            <w:shd w:fill="auto" w:val="clear"/>
            <w:vAlign w:val="center"/>
          </w:tcPr>
          <w:p>
            <w:pPr>
              <w:pStyle w:val="TableContents"/>
              <w:spacing w:before="0" w:after="1"/>
              <w:ind w:left="0" w:right="0" w:hanging="0"/>
              <w:jc w:val="center"/>
              <w:rPr/>
            </w:pPr>
            <w:r>
              <w:rPr/>
              <w:t>​</w:t>
            </w:r>
          </w:p>
        </w:tc>
        <w:tc>
          <w:tcPr>
            <w:tcW w:w="121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lending</w:t>
            </w:r>
          </w:p>
        </w:tc>
        <w:tc>
          <w:tcPr>
            <w:tcW w:w="326" w:type="dxa"/>
            <w:tcBorders/>
            <w:shd w:fill="auto" w:val="clear"/>
            <w:vAlign w:val="center"/>
          </w:tcPr>
          <w:p>
            <w:pPr>
              <w:pStyle w:val="TableContents"/>
              <w:spacing w:before="0" w:after="1"/>
              <w:ind w:left="0" w:right="0" w:hanging="0"/>
              <w:jc w:val="center"/>
              <w:rPr/>
            </w:pPr>
            <w:r>
              <w:rPr/>
              <w:t>​</w:t>
            </w:r>
          </w:p>
        </w:tc>
        <w:tc>
          <w:tcPr>
            <w:tcW w:w="126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collection</w:t>
            </w:r>
          </w:p>
        </w:tc>
        <w:tc>
          <w:tcPr>
            <w:tcW w:w="326" w:type="dxa"/>
            <w:tcBorders/>
            <w:shd w:fill="auto" w:val="clear"/>
            <w:vAlign w:val="center"/>
          </w:tcPr>
          <w:p>
            <w:pPr>
              <w:pStyle w:val="TableContents"/>
              <w:spacing w:before="0" w:after="1"/>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17" w:type="dxa"/>
            <w:tcBorders/>
            <w:shd w:fill="auto" w:val="clear"/>
            <w:vAlign w:val="center"/>
          </w:tcPr>
          <w:p>
            <w:pPr>
              <w:pStyle w:val="TableContents"/>
              <w:spacing w:before="0" w:after="1"/>
              <w:ind w:left="0" w:right="0" w:hanging="0"/>
              <w:jc w:val="center"/>
              <w:rPr/>
            </w:pPr>
            <w:r>
              <w:rPr/>
              <w:t> </w:t>
            </w:r>
          </w:p>
        </w:tc>
      </w:tr>
      <w:tr>
        <w:trPr/>
        <w:tc>
          <w:tcPr>
            <w:tcW w:w="1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September 8, 2021</w:t>
            </w:r>
          </w:p>
        </w:tc>
        <w:tc>
          <w:tcPr>
            <w:tcW w:w="326" w:type="dxa"/>
            <w:tcBorders/>
            <w:shd w:fill="CCEEFF" w:val="clear"/>
            <w:vAlign w:val="center"/>
          </w:tcPr>
          <w:p>
            <w:pPr>
              <w:pStyle w:val="TableContents"/>
              <w:spacing w:before="0" w:after="1"/>
              <w:ind w:left="0" w:right="0" w:hanging="0"/>
              <w:rPr/>
            </w:pPr>
            <w:r>
              <w:rPr/>
              <w:t>​</w:t>
            </w:r>
          </w:p>
        </w:tc>
        <w:tc>
          <w:tcPr>
            <w:tcW w:w="1260"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27, 2021</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8.25</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Wealth management product - type A</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USDT</w:t>
            </w:r>
          </w:p>
        </w:tc>
        <w:tc>
          <w:tcPr>
            <w:tcW w:w="326" w:type="dxa"/>
            <w:tcBorders/>
            <w:shd w:fill="auto" w:val="clear"/>
            <w:vAlign w:val="center"/>
          </w:tcPr>
          <w:p>
            <w:pPr>
              <w:pStyle w:val="TableContents"/>
              <w:spacing w:before="0" w:after="1"/>
              <w:ind w:left="0" w:right="0" w:hanging="0"/>
              <w:rPr/>
            </w:pPr>
            <w:r>
              <w:rPr/>
              <w:t> </w:t>
            </w:r>
          </w:p>
        </w:tc>
        <w:tc>
          <w:tcPr>
            <w:tcW w:w="13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auto" w:val="clear"/>
            <w:vAlign w:val="center"/>
          </w:tcPr>
          <w:p>
            <w:pPr>
              <w:pStyle w:val="TableContents"/>
              <w:spacing w:before="0" w:after="1"/>
              <w:ind w:left="0" w:right="0" w:hanging="0"/>
              <w:rPr/>
            </w:pPr>
            <w:r>
              <w:rPr/>
              <w:t>​</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20, 2021</w:t>
            </w:r>
          </w:p>
        </w:tc>
        <w:tc>
          <w:tcPr>
            <w:tcW w:w="326" w:type="dxa"/>
            <w:tcBorders/>
            <w:shd w:fill="auto" w:val="clear"/>
            <w:vAlign w:val="center"/>
          </w:tcPr>
          <w:p>
            <w:pPr>
              <w:pStyle w:val="TableContents"/>
              <w:spacing w:before="0" w:after="1"/>
              <w:ind w:left="0" w:right="0" w:hanging="0"/>
              <w:rPr/>
            </w:pPr>
            <w:r>
              <w:rPr/>
              <w:t>​</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28, 2021</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Wealth management product - type A</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USDT</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80,000</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14, 2022</w:t>
            </w:r>
          </w:p>
        </w:tc>
        <w:tc>
          <w:tcPr>
            <w:tcW w:w="326" w:type="dxa"/>
            <w:tcBorders/>
            <w:shd w:fill="CCEEFF" w:val="clear"/>
            <w:vAlign w:val="center"/>
          </w:tcPr>
          <w:p>
            <w:pPr>
              <w:pStyle w:val="TableContents"/>
              <w:spacing w:before="0" w:after="1"/>
              <w:ind w:left="0" w:right="0" w:hanging="0"/>
              <w:rPr/>
            </w:pPr>
            <w:r>
              <w:rPr/>
              <w:t>​</w:t>
            </w:r>
          </w:p>
        </w:tc>
        <w:tc>
          <w:tcPr>
            <w:tcW w:w="1260"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27, 2022</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USDT</w:t>
            </w:r>
          </w:p>
        </w:tc>
        <w:tc>
          <w:tcPr>
            <w:tcW w:w="326" w:type="dxa"/>
            <w:tcBorders/>
            <w:shd w:fill="auto" w:val="clear"/>
            <w:vAlign w:val="center"/>
          </w:tcPr>
          <w:p>
            <w:pPr>
              <w:pStyle w:val="TableContents"/>
              <w:spacing w:before="0" w:after="1"/>
              <w:ind w:left="0" w:right="0" w:hanging="0"/>
              <w:rPr/>
            </w:pPr>
            <w:r>
              <w:rPr/>
              <w:t> </w:t>
            </w:r>
          </w:p>
        </w:tc>
        <w:tc>
          <w:tcPr>
            <w:tcW w:w="13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auto" w:val="clear"/>
            <w:vAlign w:val="center"/>
          </w:tcPr>
          <w:p>
            <w:pPr>
              <w:pStyle w:val="TableContents"/>
              <w:spacing w:before="0" w:after="1"/>
              <w:ind w:left="0" w:right="0" w:hanging="0"/>
              <w:rPr/>
            </w:pPr>
            <w:r>
              <w:rPr/>
              <w:t>​</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April 1, 2022</w:t>
            </w:r>
          </w:p>
        </w:tc>
        <w:tc>
          <w:tcPr>
            <w:tcW w:w="326" w:type="dxa"/>
            <w:tcBorders/>
            <w:shd w:fill="auto" w:val="clear"/>
            <w:vAlign w:val="center"/>
          </w:tcPr>
          <w:p>
            <w:pPr>
              <w:pStyle w:val="TableContents"/>
              <w:spacing w:before="0" w:after="1"/>
              <w:ind w:left="0" w:right="0" w:hanging="0"/>
              <w:rPr/>
            </w:pPr>
            <w:r>
              <w:rPr/>
              <w:t>​</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28, 2022</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spacing w:before="0" w:after="1"/>
              <w:ind w:left="0" w:right="0" w:hanging="0"/>
              <w:rPr/>
            </w:pPr>
            <w:r>
              <w:rPr/>
              <w:t>​</w:t>
            </w:r>
          </w:p>
        </w:tc>
        <w:tc>
          <w:tcPr>
            <w:tcW w:w="1260"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28, 2022</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Wealth management product - type A</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USDT</w:t>
            </w:r>
          </w:p>
        </w:tc>
        <w:tc>
          <w:tcPr>
            <w:tcW w:w="326" w:type="dxa"/>
            <w:tcBorders/>
            <w:shd w:fill="auto" w:val="clear"/>
            <w:vAlign w:val="center"/>
          </w:tcPr>
          <w:p>
            <w:pPr>
              <w:pStyle w:val="TableContents"/>
              <w:spacing w:before="0" w:after="1"/>
              <w:ind w:left="0" w:right="0" w:hanging="0"/>
              <w:rPr/>
            </w:pPr>
            <w:r>
              <w:rPr/>
              <w:t> </w:t>
            </w:r>
          </w:p>
        </w:tc>
        <w:tc>
          <w:tcPr>
            <w:tcW w:w="13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auto" w:val="clear"/>
            <w:vAlign w:val="center"/>
          </w:tcPr>
          <w:p>
            <w:pPr>
              <w:pStyle w:val="TableContents"/>
              <w:spacing w:before="0" w:after="1"/>
              <w:ind w:left="0" w:right="0" w:hanging="0"/>
              <w:rPr/>
            </w:pPr>
            <w:r>
              <w:rPr/>
              <w:t>​</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April 15, 2022</w:t>
            </w:r>
          </w:p>
        </w:tc>
        <w:tc>
          <w:tcPr>
            <w:tcW w:w="326" w:type="dxa"/>
            <w:tcBorders/>
            <w:shd w:fill="auto" w:val="clear"/>
            <w:vAlign w:val="center"/>
          </w:tcPr>
          <w:p>
            <w:pPr>
              <w:pStyle w:val="TableContents"/>
              <w:spacing w:before="0" w:after="1"/>
              <w:ind w:left="0" w:right="0" w:hanging="0"/>
              <w:rPr/>
            </w:pPr>
            <w:r>
              <w:rPr/>
              <w:t>​</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17, 2022</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12, 2022</w:t>
            </w:r>
          </w:p>
        </w:tc>
        <w:tc>
          <w:tcPr>
            <w:tcW w:w="326" w:type="dxa"/>
            <w:tcBorders/>
            <w:shd w:fill="CCEEFF" w:val="clear"/>
            <w:vAlign w:val="center"/>
          </w:tcPr>
          <w:p>
            <w:pPr>
              <w:pStyle w:val="TableContents"/>
              <w:spacing w:before="0" w:after="1"/>
              <w:ind w:left="0" w:right="0" w:hanging="0"/>
              <w:rPr/>
            </w:pPr>
            <w:r>
              <w:rPr/>
              <w:t>​</w:t>
            </w:r>
          </w:p>
        </w:tc>
        <w:tc>
          <w:tcPr>
            <w:tcW w:w="1260"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May 19, 2022</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Wealth management product - type B</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USDT</w:t>
            </w:r>
          </w:p>
        </w:tc>
        <w:tc>
          <w:tcPr>
            <w:tcW w:w="326" w:type="dxa"/>
            <w:tcBorders/>
            <w:shd w:fill="auto" w:val="clear"/>
            <w:vAlign w:val="center"/>
          </w:tcPr>
          <w:p>
            <w:pPr>
              <w:pStyle w:val="TableContents"/>
              <w:spacing w:before="0" w:after="1"/>
              <w:ind w:left="0" w:right="0" w:hanging="0"/>
              <w:rPr/>
            </w:pPr>
            <w:r>
              <w:rPr/>
              <w:t> </w:t>
            </w:r>
          </w:p>
        </w:tc>
        <w:tc>
          <w:tcPr>
            <w:tcW w:w="13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auto" w:val="clear"/>
            <w:vAlign w:val="center"/>
          </w:tcPr>
          <w:p>
            <w:pPr>
              <w:pStyle w:val="TableContents"/>
              <w:spacing w:before="0" w:after="1"/>
              <w:ind w:left="0" w:right="0" w:hanging="0"/>
              <w:rPr/>
            </w:pPr>
            <w:r>
              <w:rPr/>
              <w:t>​</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17, 2022</w:t>
            </w:r>
          </w:p>
        </w:tc>
        <w:tc>
          <w:tcPr>
            <w:tcW w:w="326" w:type="dxa"/>
            <w:tcBorders/>
            <w:shd w:fill="auto" w:val="clear"/>
            <w:vAlign w:val="center"/>
          </w:tcPr>
          <w:p>
            <w:pPr>
              <w:pStyle w:val="TableContents"/>
              <w:spacing w:before="0" w:after="1"/>
              <w:ind w:left="0" w:right="0" w:hanging="0"/>
              <w:rPr/>
            </w:pPr>
            <w:r>
              <w:rPr/>
              <w:t>​</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28, 2022</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Wealth management product - type B</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USDT</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20, 2022</w:t>
            </w:r>
          </w:p>
        </w:tc>
        <w:tc>
          <w:tcPr>
            <w:tcW w:w="326" w:type="dxa"/>
            <w:tcBorders/>
            <w:shd w:fill="CCEEFF" w:val="clear"/>
            <w:vAlign w:val="center"/>
          </w:tcPr>
          <w:p>
            <w:pPr>
              <w:pStyle w:val="TableContents"/>
              <w:spacing w:before="0" w:after="1"/>
              <w:ind w:left="0" w:right="0" w:hanging="0"/>
              <w:rPr/>
            </w:pPr>
            <w:r>
              <w:rPr/>
              <w:t>​</w:t>
            </w:r>
          </w:p>
        </w:tc>
        <w:tc>
          <w:tcPr>
            <w:tcW w:w="1260"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June 28, 2022</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USDC</w:t>
            </w:r>
          </w:p>
        </w:tc>
        <w:tc>
          <w:tcPr>
            <w:tcW w:w="326" w:type="dxa"/>
            <w:tcBorders/>
            <w:shd w:fill="auto" w:val="clear"/>
            <w:vAlign w:val="center"/>
          </w:tcPr>
          <w:p>
            <w:pPr>
              <w:pStyle w:val="TableContents"/>
              <w:spacing w:before="0" w:after="1"/>
              <w:ind w:left="0" w:right="0" w:hanging="0"/>
              <w:rPr/>
            </w:pPr>
            <w:r>
              <w:rPr/>
              <w:t> </w:t>
            </w:r>
          </w:p>
        </w:tc>
        <w:tc>
          <w:tcPr>
            <w:tcW w:w="13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80,000</w:t>
            </w:r>
          </w:p>
        </w:tc>
        <w:tc>
          <w:tcPr>
            <w:tcW w:w="326" w:type="dxa"/>
            <w:tcBorders/>
            <w:shd w:fill="auto" w:val="clear"/>
            <w:vAlign w:val="center"/>
          </w:tcPr>
          <w:p>
            <w:pPr>
              <w:pStyle w:val="TableContents"/>
              <w:spacing w:before="0" w:after="1"/>
              <w:ind w:left="0" w:right="0" w:hanging="0"/>
              <w:rPr/>
            </w:pPr>
            <w:r>
              <w:rPr/>
              <w:t>​</w:t>
            </w:r>
          </w:p>
        </w:tc>
        <w:tc>
          <w:tcPr>
            <w:tcW w:w="12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July 1, 2022</w:t>
            </w:r>
          </w:p>
        </w:tc>
        <w:tc>
          <w:tcPr>
            <w:tcW w:w="326" w:type="dxa"/>
            <w:tcBorders/>
            <w:shd w:fill="auto" w:val="clear"/>
            <w:vAlign w:val="center"/>
          </w:tcPr>
          <w:p>
            <w:pPr>
              <w:pStyle w:val="TableContents"/>
              <w:spacing w:before="0" w:after="1"/>
              <w:ind w:left="0" w:right="0" w:hanging="0"/>
              <w:rPr/>
            </w:pPr>
            <w:r>
              <w:rPr/>
              <w:t>​</w:t>
            </w:r>
          </w:p>
        </w:tc>
        <w:tc>
          <w:tcPr>
            <w:tcW w:w="1260"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September 28, 2022</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Loan</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USDC</w:t>
            </w:r>
          </w:p>
        </w:tc>
        <w:tc>
          <w:tcPr>
            <w:tcW w:w="326" w:type="dxa"/>
            <w:tcBorders/>
            <w:shd w:fill="CCEEFF" w:val="clear"/>
            <w:vAlign w:val="center"/>
          </w:tcPr>
          <w:p>
            <w:pPr>
              <w:pStyle w:val="TableContents"/>
              <w:spacing w:before="0" w:after="1"/>
              <w:ind w:left="0" w:right="0" w:hanging="0"/>
              <w:rPr/>
            </w:pPr>
            <w:r>
              <w:rPr/>
              <w:t> </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spacing w:before="0" w:after="1"/>
              <w:ind w:left="0" w:right="0" w:hanging="0"/>
              <w:rPr/>
            </w:pPr>
            <w:r>
              <w:rPr/>
              <w:t>​</w:t>
            </w:r>
          </w:p>
        </w:tc>
        <w:tc>
          <w:tcPr>
            <w:tcW w:w="12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11, 2022</w:t>
            </w:r>
          </w:p>
        </w:tc>
        <w:tc>
          <w:tcPr>
            <w:tcW w:w="326" w:type="dxa"/>
            <w:tcBorders/>
            <w:shd w:fill="CCEEFF" w:val="clear"/>
            <w:vAlign w:val="center"/>
          </w:tcPr>
          <w:p>
            <w:pPr>
              <w:pStyle w:val="TableContents"/>
              <w:spacing w:before="0" w:after="1"/>
              <w:ind w:left="0" w:right="0" w:hanging="0"/>
              <w:rPr/>
            </w:pPr>
            <w:r>
              <w:rPr/>
              <w:t>​</w:t>
            </w:r>
          </w:p>
        </w:tc>
        <w:tc>
          <w:tcPr>
            <w:tcW w:w="1260"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28, 2022</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2021 and 2022, the balances of cryptocurrency receivables and embedded derivative were both nil. The change in fair value of the cryptocurrencies lent or invested, and the embedded derivative relating to the wealth management product type A are immaterial as the arrangements are short term in nature and the quoted prices of USDT and USDC are relatively stable.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To facilitate the lending and wealth management products purchases, the Group purchased the aforementioned cryptocurrencies using approximately nil and US$286 million for the years ended December 31, 2021 and 2022, respectively. The total receipts from the collection of lending and redemption of wealth management products were disposed of by the Group for approximately US$61 million and US$302 million during the years ended December 31, 2021 and 2022, respectively.</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EARNINGS / (LOSS) PER SHARE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calculation of basic earnings / (loss) per share is based on the profit or loss attributable to ordinary equity shareholders of the Group and the weighted average number of ordinary shares in issue for the year ended December 31, 2021 and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Diluted earnings / (loss) per share is computed using the weighted average number of ordinary shares and dilutive potential ordinary shares outstanding during the respective periods.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the Group incurred losses for the year ended December 31, 2022, the potential ordinary shares related to the outstanding share awards exercisable into approximately 1.2 billion ordinary shares and convertible debt convertible into approximately 475 million ordinary shares were not included in the calculation of dilutive loss per share, as their inclusion would be anti-dilutive.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sz w:val="20"/>
        </w:rPr>
      </w:pPr>
      <w:bookmarkStart w:id="1984" w:name="Tc_6-adWBnCV0OhlsSKSqDeoQ_17_0"/>
      <w:bookmarkStart w:id="1985" w:name="Tc_UyVTISidfEKE63JECYWSZA_15_0"/>
      <w:bookmarkStart w:id="1986" w:name="Tc_Bx9odh3T0Eq-k_I2BHdAsQ_14_6"/>
      <w:bookmarkStart w:id="1987" w:name="Tc_aMN9mRnmVEyPK8YA0a_smw_14_2"/>
      <w:bookmarkStart w:id="1988" w:name="Tc_KeUrsqKAbkuz7iaJFXNSAw_14_0"/>
      <w:bookmarkStart w:id="1989" w:name="Tc_smeHH6lWQU6w4S8GeOT8kg_13_6"/>
      <w:bookmarkStart w:id="1990" w:name="Tc_XZo1-Wxbwke37EBRa7dBCQ_13_2"/>
      <w:bookmarkStart w:id="1991" w:name="Tc_RGrgdw9-RE6E64y106srAg_13_0"/>
      <w:bookmarkStart w:id="1992" w:name="Tc_CQqNjVW4f0aS1ZJclqq27Q_12_0"/>
      <w:bookmarkStart w:id="1993" w:name="Tc_yigkXy7utUW1VF6aueTE5Q_11_0"/>
      <w:bookmarkStart w:id="1994" w:name="Tc_lm71KUMENk6KdI9aJl-Bow_9_0"/>
      <w:bookmarkStart w:id="1995" w:name="Tc_Ov4Lp1SHfE-RnnXEXhwdzw_8_6"/>
      <w:bookmarkStart w:id="1996" w:name="Tc_Z2-vqUr3RE-vI4f8Ip6bTw_8_2"/>
      <w:bookmarkStart w:id="1997" w:name="Tc_RHv9rJPZGECs_evnnw25cw_8_0"/>
      <w:bookmarkStart w:id="1998" w:name="Tc_TK4FBWdVEUSMsKPHkrlGnA_7_0"/>
      <w:bookmarkStart w:id="1999" w:name="Tc_F-1ZP_OAiU2sAmr-1xqyaw_5_0"/>
      <w:bookmarkStart w:id="2000" w:name="Tc_BQQx8_a27E2AYT4kMV59-Q_4_0"/>
      <w:bookmarkStart w:id="2001" w:name="Tc_EdDcAsYE50aZRohu5Dni6w_3_0"/>
      <w:bookmarkStart w:id="2002" w:name="Tc_fyqTt5UrVkOzUAxZ-xQhrg_2_6"/>
      <w:bookmarkStart w:id="2003" w:name="Tc_jr2_N9LI3kOgQZSY780X1A_2_4"/>
      <w:bookmarkStart w:id="2004" w:name="Tc_Uh6xi-4Br0S5HNGXYwC0gg_2_2"/>
      <w:bookmarkStart w:id="2005" w:name="Tc_bM35OEBO0EO8gY1ROllogQ_2_0"/>
      <w:bookmarkStart w:id="2006" w:name="Tc_gJwajaTdQUq5t-c7366uUw_1_2"/>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r>
        <w:rPr>
          <w:rFonts w:ascii="Times New Roman;Times;serif" w:hAnsi="Times New Roman;Times;serif"/>
          <w:sz w:val="20"/>
        </w:rPr>
        <w:t>The following reflects the income and share data used in the basic and diluted earnings / (loss) per ordinary share computations: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434"/>
        <w:gridCol w:w="326"/>
        <w:gridCol w:w="1036"/>
        <w:gridCol w:w="146"/>
        <w:gridCol w:w="1036"/>
        <w:gridCol w:w="146"/>
        <w:gridCol w:w="1081"/>
      </w:tblGrid>
      <w:tr>
        <w:trPr/>
        <w:tc>
          <w:tcPr>
            <w:tcW w:w="64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085590" cy="175260"/>
                      <wp:effectExtent l="0" t="0" r="0" b="0"/>
                      <wp:wrapNone/>
                      <wp:docPr id="464" name="Frame463"/>
                      <a:graphic xmlns:a="http://schemas.openxmlformats.org/drawingml/2006/main">
                        <a:graphicData uri="http://schemas.microsoft.com/office/word/2010/wordprocessingShape">
                          <wps:wsp>
                            <wps:cNvSpPr txBox="1"/>
                            <wps:spPr>
                              <a:xfrm>
                                <a:off x="0" y="0"/>
                                <a:ext cx="4085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57860" cy="175260"/>
                      <wp:effectExtent l="0" t="0" r="0" b="0"/>
                      <wp:wrapNone/>
                      <wp:docPr id="466" name="Frame46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2710" cy="175260"/>
                      <wp:effectExtent l="0" t="0" r="0" b="0"/>
                      <wp:wrapNone/>
                      <wp:docPr id="467" name="Frame46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57860" cy="175260"/>
                      <wp:effectExtent l="0" t="0" r="0" b="0"/>
                      <wp:wrapNone/>
                      <wp:docPr id="468" name="Frame46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2710" cy="175260"/>
                      <wp:effectExtent l="0" t="0" r="0" b="0"/>
                      <wp:wrapNone/>
                      <wp:docPr id="469" name="Frame46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86435" cy="175260"/>
                      <wp:effectExtent l="0" t="0" r="0" b="0"/>
                      <wp:wrapNone/>
                      <wp:docPr id="470" name="Frame469"/>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4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4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434"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In thousands of USD, except for the per share data</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4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Profit / (loss) attributable to ordinary equity shareholders of the Group</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(55,826)</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82,643</w:t>
            </w:r>
          </w:p>
        </w:tc>
        <w:tc>
          <w:tcPr>
            <w:tcW w:w="14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64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number of ordinary shares outstanding (thousand shares)</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14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Basic earnings / (loss) per share (In USD)</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14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146" w:type="dxa"/>
            <w:tcBorders/>
            <w:shd w:fill="CCEEFF" w:val="clear"/>
            <w:vAlign w:val="center"/>
          </w:tcPr>
          <w:p>
            <w:pPr>
              <w:pStyle w:val="TableContents"/>
              <w:spacing w:before="0" w:after="1"/>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64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rPr/>
            </w:pPr>
            <w:r>
              <w:rPr/>
              <w:t>​</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Profit / (loss) attributable to ordinary equity shareholders of the Group</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(55,826)</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82,643</w:t>
            </w:r>
          </w:p>
        </w:tc>
        <w:tc>
          <w:tcPr>
            <w:tcW w:w="14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64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Increase in profit attributable to ordinary equity shareholders of the Group resulted from conversion of convertible debt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14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Profit / (loss) attributable to ordinary equity shareholders of the Group for diluted EPS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(55,826)</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83,866</w:t>
            </w:r>
          </w:p>
        </w:tc>
        <w:tc>
          <w:tcPr>
            <w:tcW w:w="14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(60,366)</w:t>
            </w:r>
          </w:p>
        </w:tc>
      </w:tr>
      <w:tr>
        <w:trPr/>
        <w:tc>
          <w:tcPr>
            <w:tcW w:w="64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rPr/>
            </w:pPr>
            <w:r>
              <w:rPr/>
              <w:t>​</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number of ordinary shares outstanding (thousand shares)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14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r>
      <w:tr>
        <w:trPr/>
        <w:tc>
          <w:tcPr>
            <w:tcW w:w="64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Adjusted for:</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Assumed conversion of convertible debt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210,681</w:t>
            </w:r>
          </w:p>
        </w:tc>
        <w:tc>
          <w:tcPr>
            <w:tcW w:w="14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w:t>
            </w:r>
          </w:p>
        </w:tc>
      </w:tr>
      <w:tr>
        <w:trPr/>
        <w:tc>
          <w:tcPr>
            <w:tcW w:w="643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Assumed exercise of share awards</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104,370</w:t>
            </w:r>
          </w:p>
        </w:tc>
        <w:tc>
          <w:tcPr>
            <w:tcW w:w="14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number of shares outstanding for diluted EPS (thousand shares)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c>
          <w:tcPr>
            <w:tcW w:w="14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12,977,177</w:t>
            </w:r>
          </w:p>
        </w:tc>
        <w:tc>
          <w:tcPr>
            <w:tcW w:w="14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12,662,126</w:t>
            </w:r>
          </w:p>
        </w:tc>
      </w:tr>
      <w:tr>
        <w:trPr/>
        <w:tc>
          <w:tcPr>
            <w:tcW w:w="64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rPr/>
            </w:pPr>
            <w:r>
              <w:rPr/>
              <w:t>​</w:t>
            </w:r>
          </w:p>
        </w:tc>
      </w:tr>
      <w:tr>
        <w:trPr/>
        <w:tc>
          <w:tcPr>
            <w:tcW w:w="6434"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Diluted earnings / (loss) per share (In USD)</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14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146" w:type="dxa"/>
            <w:tcBorders/>
            <w:shd w:fill="CCEEFF" w:val="clear"/>
            <w:vAlign w:val="center"/>
          </w:tcPr>
          <w:p>
            <w:pPr>
              <w:pStyle w:val="TableContents"/>
              <w:spacing w:before="0" w:after="1"/>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bl>
    <w:tbl>
      <w:tblPr>
        <w:tblW w:w="10205" w:type="dxa"/>
        <w:jc w:val="left"/>
        <w:tblInd w:w="0" w:type="dxa"/>
        <w:tblCellMar>
          <w:top w:w="0" w:type="dxa"/>
          <w:left w:w="0" w:type="dxa"/>
          <w:bottom w:w="0" w:type="dxa"/>
          <w:right w:w="0" w:type="dxa"/>
        </w:tblCellMar>
      </w:tblPr>
      <w:tblGrid>
        <w:gridCol w:w="124"/>
        <w:gridCol w:w="284"/>
        <w:gridCol w:w="9797"/>
      </w:tblGrid>
      <w:tr>
        <w:trPr/>
        <w:tc>
          <w:tcPr>
            <w:tcW w:w="1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979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 xml:space="preserve">Each share of Class A </w:t>
            </w:r>
            <w:r>
              <w:rPr>
                <w:rFonts w:ascii="Times New Roman;Times;serif" w:hAnsi="Times New Roman;Times;serif"/>
                <w:b w:val="false"/>
                <w:i w:val="false"/>
                <w:caps w:val="false"/>
                <w:smallCaps w:val="false"/>
                <w:sz w:val="20"/>
              </w:rPr>
              <w:t>ordinary</w:t>
            </w:r>
            <w:r>
              <w:rPr>
                <w:rFonts w:ascii="Times New Roman;Times;serif" w:hAnsi="Times New Roman;Times;serif"/>
                <w:sz w:val="20"/>
              </w:rPr>
              <w:t xml:space="preserve"> shares, Series A </w:t>
            </w:r>
            <w:r>
              <w:rPr>
                <w:rFonts w:ascii="Times New Roman;Times;serif" w:hAnsi="Times New Roman;Times;serif"/>
                <w:b w:val="false"/>
                <w:i w:val="false"/>
                <w:caps w:val="false"/>
                <w:smallCaps w:val="false"/>
                <w:sz w:val="20"/>
              </w:rPr>
              <w:t>preferred</w:t>
            </w:r>
            <w:r>
              <w:rPr>
                <w:rFonts w:ascii="Times New Roman;Times;serif" w:hAnsi="Times New Roman;Times;serif"/>
                <w:sz w:val="20"/>
              </w:rPr>
              <w:t xml:space="preserve"> shares, Series B </w:t>
            </w:r>
            <w:r>
              <w:rPr>
                <w:rFonts w:ascii="Times New Roman;Times;serif" w:hAnsi="Times New Roman;Times;serif"/>
                <w:b w:val="false"/>
                <w:i w:val="false"/>
                <w:caps w:val="false"/>
                <w:smallCaps w:val="false"/>
                <w:sz w:val="20"/>
              </w:rPr>
              <w:t>preferred</w:t>
            </w:r>
            <w:r>
              <w:rPr>
                <w:rFonts w:ascii="Times New Roman;Times;serif" w:hAnsi="Times New Roman;Times;serif"/>
                <w:sz w:val="20"/>
              </w:rPr>
              <w:t xml:space="preserve"> shares and Series B+ preferred shares is granted 1 vote and each share of Class B ordinary shares is granted 10 votes. All classes of shares are entitled to dividend and rank pari passu except for voting rights. They are included in the ordinary shares and the shareholders of these preferred shares are referred to as the ordinary equity shareholders in the context of notes and presentations of earnings per share.</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007" w:name="Tc_3zOrxwnA6kCJ__GtMyRVKA_16_6"/>
      <w:bookmarkStart w:id="2008" w:name="Tc_UGh-fZ9IpEKb7ei8oz8UKw_16_0"/>
      <w:bookmarkStart w:id="2009" w:name="Tc_fF5xOa1wZ0iK5ChMIeFjgQ_15_6"/>
      <w:bookmarkStart w:id="2010" w:name="Tc_JrBDNJhKOUGtPcdWesdQjw_15_4"/>
      <w:bookmarkStart w:id="2011" w:name="Tc_sSil1aLU2UWQHVsLA1yd_g_15_0"/>
      <w:bookmarkStart w:id="2012" w:name="Tc_7YcmX5tXSEKLaHvs4R4f2w_14_2"/>
      <w:bookmarkStart w:id="2013" w:name="Tc_d3C0H3iqD06KCTBCnyAuVA_14_0"/>
      <w:bookmarkStart w:id="2014" w:name="Tc_6HAUJMC1G0ySJToHAcdk5g_13_2"/>
      <w:bookmarkStart w:id="2015" w:name="Tc_JUoG4Fk28UeCOVbVfrPQtQ_13_0"/>
      <w:bookmarkStart w:id="2016" w:name="Tc_HS_EPmDRC0iStn1p_SsuOw_12_2"/>
      <w:bookmarkStart w:id="2017" w:name="Tc_Xsm9-kVre0S4efifqktoXQ_12_0"/>
      <w:bookmarkStart w:id="2018" w:name="Tc_NPosTlJGYUaDer5v1iEr3A_11_2"/>
      <w:bookmarkStart w:id="2019" w:name="Tc_4nUFkcz-hk-o_-49ZgkOvw_11_0"/>
      <w:bookmarkStart w:id="2020" w:name="Tc_lbDjrQANIU6G5OcuEoX05A_10_6"/>
      <w:bookmarkStart w:id="2021" w:name="Tc_inNFWDS4c0S0yEb67wsplQ_10_2"/>
      <w:bookmarkStart w:id="2022" w:name="Tc_rDbBW_tHWkKiSuqvC9Xwfg_10_0"/>
      <w:bookmarkStart w:id="2023" w:name="Tc_ooVBXd7930mbej9Pqs1CMA_9_6"/>
      <w:bookmarkStart w:id="2024" w:name="Tc_zAHvQcAgwkmGE_qXVM5RCQ_9_2"/>
      <w:bookmarkStart w:id="2025" w:name="Tc_WnqM0ylCe0m5tg-Mz3fwWg_9_0"/>
      <w:bookmarkStart w:id="2026" w:name="Tc_Z-e57oTKLEGZhy8G7DaKEw_8_6"/>
      <w:bookmarkStart w:id="2027" w:name="Tc_p2qqUKPqOkmZMOFGZ_Jc-A_8_2"/>
      <w:bookmarkStart w:id="2028" w:name="Tc_IvGZd9eg2Euk-98PFrKIog_8_0"/>
      <w:bookmarkStart w:id="2029" w:name="Tc_rvfunnoTMEO4Wk5RhTSOHQ_7_6"/>
      <w:bookmarkStart w:id="2030" w:name="Tc_T_BltJrjXEq3fgPfmywnrg_7_4"/>
      <w:bookmarkStart w:id="2031" w:name="Tc_5OjH52W5P0Skc8pGuHwpKw_7_0"/>
      <w:bookmarkStart w:id="2032" w:name="Tc_blq1XLbI806GsRBJSXwNWg_6_2"/>
      <w:bookmarkStart w:id="2033" w:name="Tc__0i8cn7WXEaao9PTkWKkKQ_6_0"/>
      <w:bookmarkStart w:id="2034" w:name="Tc_VAmFdI5A1kWFDVAMr3Zqew_5_0"/>
      <w:bookmarkStart w:id="2035" w:name="Tc_gpsoSFKNe0mEKy3tiqLkrA_4_4"/>
      <w:bookmarkStart w:id="2036" w:name="Tc_VcCQAq3IrUSk-sd8KEgwyg_4_0"/>
      <w:bookmarkStart w:id="2037" w:name="Tc_B-4VUS1ywUGb4F1f0F74GQ_3_0"/>
      <w:bookmarkStart w:id="2038" w:name="Tc_Rrs0wxUPf0aL997TjBOTrw_2_6"/>
      <w:bookmarkStart w:id="2039" w:name="Tc_bLkTszw1KU644SSGoPoO5w_2_4"/>
      <w:bookmarkStart w:id="2040" w:name="Tc_TXOBuyq07UK_XnU53H7loQ_2_2"/>
      <w:bookmarkStart w:id="2041" w:name="Tc_lm79gPfbmU6_aI5VaW5s-Q_2_0"/>
      <w:bookmarkStart w:id="2042" w:name="Tc_RA7EaaVBoUOt7SR-anJSIw_1_2"/>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r>
        <w:rPr>
          <w:rFonts w:ascii="Times New Roman;Times;serif" w:hAnsi="Times New Roman;Times;serif"/>
          <w:b/>
          <w:i w:val="false"/>
          <w:caps w:val="false"/>
          <w:smallCaps w:val="false"/>
          <w:sz w:val="20"/>
        </w:rPr>
        <w:t>22.</w:t>
      </w:r>
      <w:r>
        <w:rPr>
          <w:rFonts w:ascii="Times New Roman;Times;serif" w:hAnsi="Times New Roman;Times;serif"/>
          <w:b/>
          <w:sz w:val="20"/>
        </w:rPr>
        <w:t>SUPPLEMENTAL CASH FLOW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non-cash investing and financing activities are as follows:</w:t>
      </w:r>
    </w:p>
    <w:p>
      <w:pPr>
        <w:pStyle w:val="TextBody"/>
        <w:spacing w:before="0" w:after="0"/>
        <w:ind w:left="0" w:right="0" w:hanging="0"/>
        <w:rPr/>
      </w:pPr>
      <w:r>
        <w:rPr/>
        <w:t>​</w:t>
      </w:r>
    </w:p>
    <w:tbl>
      <w:tblPr>
        <w:tblW w:w="10200" w:type="dxa"/>
        <w:jc w:val="left"/>
        <w:tblInd w:w="0" w:type="dxa"/>
        <w:tblCellMar>
          <w:top w:w="0" w:type="dxa"/>
          <w:left w:w="0" w:type="dxa"/>
          <w:bottom w:w="0" w:type="dxa"/>
          <w:right w:w="0" w:type="dxa"/>
        </w:tblCellMar>
      </w:tblPr>
      <w:tblGrid>
        <w:gridCol w:w="7366"/>
        <w:gridCol w:w="326"/>
        <w:gridCol w:w="571"/>
        <w:gridCol w:w="109"/>
        <w:gridCol w:w="676"/>
        <w:gridCol w:w="326"/>
        <w:gridCol w:w="826"/>
      </w:tblGrid>
      <w:tr>
        <w:trPr/>
        <w:tc>
          <w:tcPr>
            <w:tcW w:w="7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r>
      <w:tr>
        <w:trPr/>
        <w:tc>
          <w:tcPr>
            <w:tcW w:w="7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In thousands of USD</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NON-CASH INVESTING AND FINANCING TRANSACTIONS</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Liabilities assumed in connection with acquisition of mining machines from related party</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9,302</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7,212</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47,178</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7,270</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 for purchase of mining machines in form of cryptocurrencies</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11,986</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4,805</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Cryptocurrencies received on behalf of related parties</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6,312</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Cryptocurrencies paid on behalf of related parties</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24,852</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Lending made to a third party in form of cryptocurrencies</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10,222</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Collection of lending from a third party in form of cryptocurrencies</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6,487</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Lending made to related party in form of cryptocurrencies</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30,015</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150,025</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Collection of lending from related party in form of cryptocurrencies</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30,735</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151,525</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 of wealth management products using cryptocurrencies</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30,004</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149,972</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Redemption of wealth management products in form of cryptocurrencies</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30,724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150,268</w:t>
            </w:r>
          </w:p>
        </w:tc>
      </w:tr>
      <w:tr>
        <w:trPr/>
        <w:tc>
          <w:tcPr>
            <w:tcW w:w="7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Receivable on disposal of property, plant and equipment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109"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r>
      <w:tr>
        <w:trPr/>
        <w:tc>
          <w:tcPr>
            <w:tcW w:w="7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Liabilities assumed in connection with acquisition of property, plant and equipment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SUBSEQUENT EVENTS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January and April 2023, the Group granted a total of approximately 46,806,000 share awards in two batches to the designated recipients under the 2021 Plan. Each share award grants an option for the recipient to purchase one share of the Group’s ordinary shares at an exercise price of </w:t>
      </w:r>
      <w:r>
        <w:rPr>
          <w:rFonts w:ascii="Times New Roman;Times;serif" w:hAnsi="Times New Roman;Times;serif"/>
          <w:color w:val="231F20"/>
          <w:sz w:val="20"/>
        </w:rPr>
        <w:t>$0.03  per share. The share awards vest in five years, and the recipient shall continue to provide services to the Group by each vesting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HOLDING COMPANY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In April 2023, the Group completed the business combination with BSGA and Bitdeer Technologies Group (“BTG”) via a multiple-merger structure (the “Business Combination”). Upon completion of the Business Combination, both the Group and BSGA became a wholly-owned subsidiary of Bitdeer Technologies Group (“BTG”), the ultimate holding company, and the then issued and outstanding shares of the Group were cancelled in exchange for newly issued shares of BTG at an exchange ratio of approximately 0.00858. The Business Combination is accounted for as a “reverse recapitalization” in accordance with IFRS. Under this method of accounting, the Group will be treated as the accounting acquirer for financial reporting purposes.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other material subsequent events during the period from December 31, 2022 to the approval date of this consolidated financial statements on April 19,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 - 58</w:t>
      </w:r>
      <w:r>
        <w:br w:type="page"/>
      </w:r>
    </w:p>
    <w:p>
      <w:pPr>
        <w:pStyle w:val="TextBody"/>
        <w:spacing w:before="0" w:after="240"/>
        <w:ind w:left="101" w:right="0" w:hanging="0"/>
        <w:jc w:val="right"/>
        <w:rPr>
          <w:rFonts w:ascii="Times New Roman;Times;serif" w:hAnsi="Times New Roman;Times;serif"/>
          <w:b/>
          <w:sz w:val="20"/>
        </w:rPr>
      </w:pPr>
      <w:bookmarkStart w:id="2043" w:name="btdr-20221231xex2d2.htm"/>
      <w:bookmarkStart w:id="2044" w:name="ksbtdr20221231xex2d2"/>
      <w:bookmarkEnd w:id="2043"/>
      <w:bookmarkEnd w:id="2044"/>
      <w:r>
        <w:rPr>
          <w:rFonts w:ascii="Times New Roman;Times;serif" w:hAnsi="Times New Roman;Times;serif"/>
          <w:b/>
          <w:sz w:val="20"/>
        </w:rPr>
        <w:t>Exhibit 2.2</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Description of Rights of Securities Registered under</w:t>
        <w:br/>
        <w:t>Section 12 of the Securities Exchange Act of 1934</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Class A ordinary shares, par value US$0.0000001 (“Class A Ordinary Shares”) in the share capital of Bitdeer Technologies Group (the “Company”) are listed on The Nasdaq Stock Market and are registered under Section 12(b) of the Securities Exchange Act of 1934 (the “Exchange Act”). This exhibit contains a description of the rights of the holders of Class A Ordinary Shares and class V ordinary shares, par value US$0.0000001 (“Class V Ordinary Shares”, together with Class A Ordinary Shares, the “Ordinary Shares”) in the share capital of the Company.</w:t>
      </w:r>
    </w:p>
    <w:p>
      <w:pPr>
        <w:pStyle w:val="TextBody"/>
        <w:spacing w:before="0" w:after="240"/>
        <w:ind w:left="0" w:right="0" w:hanging="0"/>
        <w:rPr>
          <w:rFonts w:ascii="Times New Roman;Times;serif" w:hAnsi="Times New Roman;Times;serif"/>
          <w:b/>
          <w:sz w:val="18"/>
        </w:rPr>
      </w:pPr>
      <w:r>
        <w:rPr>
          <w:rFonts w:ascii="Times New Roman;Times;serif" w:hAnsi="Times New Roman;Times;serif"/>
          <w:b/>
          <w:sz w:val="18"/>
        </w:rPr>
        <w:t>Description of Ordinary Shares (Items 9.A.3, 9.A.5, 9.A.6, 9.A.7, 10.B.3, 10.B.4, 10.B.6, 10.B.7, 10.B.8, 10.B.9 and 10.B.10 of Form 20-F)</w:t>
      </w:r>
    </w:p>
    <w:p>
      <w:pPr>
        <w:pStyle w:val="TextBody"/>
        <w:pBdr/>
        <w:spacing w:before="0" w:after="240"/>
        <w:ind w:left="0" w:right="0" w:hanging="547"/>
        <w:rPr>
          <w:rFonts w:ascii="Times New Roman;Times;serif" w:hAnsi="Times New Roman;Times;serif"/>
          <w:b/>
          <w:i/>
          <w:sz w:val="18"/>
        </w:rPr>
      </w:pPr>
      <w:r>
        <w:rPr>
          <w:rFonts w:ascii="Times New Roman;Times;serif" w:hAnsi="Times New Roman;Times;serif"/>
          <w:b/>
          <w:i/>
          <w:sz w:val="18"/>
        </w:rPr>
        <w:t>Ordinary Shares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General. </w:t>
      </w:r>
      <w:r>
        <w:rPr>
          <w:rFonts w:ascii="Times New Roman;Times;serif" w:hAnsi="Times New Roman;Times;serif"/>
          <w:sz w:val="18"/>
        </w:rPr>
        <w:t>Our Ordinary Shares are issued in registered form and are issued when registered in our register of shareholders. We may not issue shares to 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 ––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Conversion. </w:t>
      </w:r>
      <w:r>
        <w:rPr>
          <w:rFonts w:ascii="Times New Roman;Times;serif" w:hAnsi="Times New Roman;Times;serif"/>
          <w:sz w:val="18"/>
        </w:rPr>
        <w:t>Each Class V Ordinary Share shall automatically convert into one Class A Ordinary Share (as adjusted for share splits, share combinations 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Dividends. </w:t>
      </w:r>
      <w:r>
        <w:rPr>
          <w:rFonts w:ascii="Times New Roman;Times;serif" w:hAnsi="Times New Roman;Times;serif"/>
          <w:sz w:val="18"/>
        </w:rPr>
        <w:t>The holders of our Ordinary Share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the Company may pay a dividend out of either profit or the credit standing in the Company’s share premium account, provided that in no circumstances may a dividend be paid if this would result in the Company being unable to pay its debts as they fall due in the ordinary course of business immediately following the date on which the distribution or dividend is paid.</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Voting Rights. </w:t>
      </w:r>
      <w:r>
        <w:rPr>
          <w:rFonts w:ascii="Times New Roman;Times;serif" w:hAnsi="Times New Roman;Times;serif"/>
          <w:sz w:val="18"/>
        </w:rPr>
        <w:t>Holders of our Ordinary Share have the right to receive notice of, attend, speak and vote at general meetings of our Company. Holders of our Class A Ordinary Share and Class V Ordinary Share shall, at all times, vote together as one class on all matters submitted to a vote by our shareholders at any general meeting of the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An ordinary resolution to be passed at a meeting by the shareholders requires the affirmative vote of a simple majority of the votes attaching to the Ordinary Share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amended and restated memorandum and articles of association. Holders of the Ordinary Share may, among other things, divide or combine their shares by ordinary resolution.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General Meetings of Shareholders. </w:t>
      </w:r>
      <w:r>
        <w:rPr>
          <w:rFonts w:ascii="Times New Roman;Times;serif" w:hAnsi="Times New Roman;Times;serif"/>
          <w:sz w:val="18"/>
        </w:rPr>
        <w:t>As a Cayman Islands exempted company, we are not obliged by the Companies Act (as amended) of the Cayman Islands, or the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holders of shares being not less than an aggregate of fifty percent (50%) of all votes attaching to all shares in issue and entitled to vote.</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our company.</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Transfer of Ordinary Shares. </w:t>
      </w:r>
      <w:r>
        <w:rPr>
          <w:rFonts w:ascii="Times New Roman;Times;serif" w:hAnsi="Times New Roman;Times;serif"/>
          <w:sz w:val="18"/>
        </w:rPr>
        <w:t>Subject to the restrictions set out below, any of our shareholders may transfer all or any of his or her Ordinary Shares by an instrument of transfer in the usual or common form or any other form approved by our board of directors.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4863" w:type="dxa"/>
        <w:jc w:val="left"/>
        <w:tblInd w:w="0" w:type="dxa"/>
        <w:tblCellMar>
          <w:top w:w="0" w:type="dxa"/>
          <w:left w:w="0" w:type="dxa"/>
          <w:bottom w:w="0" w:type="dxa"/>
          <w:right w:w="0" w:type="dxa"/>
        </w:tblCellMar>
      </w:tblPr>
      <w:tblGrid>
        <w:gridCol w:w="23"/>
        <w:gridCol w:w="170"/>
        <w:gridCol w:w="46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instrument of transfer is in respect of only one class of shares;</w:t>
            </w:r>
          </w:p>
        </w:tc>
      </w:tr>
    </w:tbl>
    <w:tbl>
      <w:tblPr>
        <w:tblW w:w="4308" w:type="dxa"/>
        <w:jc w:val="left"/>
        <w:tblInd w:w="0" w:type="dxa"/>
        <w:tblCellMar>
          <w:top w:w="0" w:type="dxa"/>
          <w:left w:w="0" w:type="dxa"/>
          <w:bottom w:w="0" w:type="dxa"/>
          <w:right w:w="0" w:type="dxa"/>
        </w:tblCellMar>
      </w:tblPr>
      <w:tblGrid>
        <w:gridCol w:w="23"/>
        <w:gridCol w:w="170"/>
        <w:gridCol w:w="41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instrument of transfer is properly stamped, if required;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the case of a transfer to joint holders, the number of joint holders to whom the Ordinary Share is to be transferred does not exceed four;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fee of such maximum sum as the Nasdaq Stock Market may determine to be payable or such lesser sum as our directors may from time to time require is paid to us in respect thereof.</w:t>
            </w:r>
          </w:p>
        </w:tc>
      </w:tr>
    </w:tbl>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If our directors refuse to register a transfer they shall, within three calendar months after the date on which the instrument of transfer was lodged, send to each of the transferor and the transferee notice of such refusal.</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Liquidation. </w:t>
      </w:r>
      <w:r>
        <w:rPr>
          <w:rFonts w:ascii="Times New Roman;Times;serif" w:hAnsi="Times New Roman;Times;serif"/>
          <w:sz w:val="18"/>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capital paid up at the commencement of the winding up on the shares held by them, respectively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capital paid up at the commencement of the winding up on the shares held by them, respectively.</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Calls on Shares and Forfeiture of Shares. </w:t>
      </w:r>
      <w:r>
        <w:rPr>
          <w:rFonts w:ascii="Times New Roman;Times;serif" w:hAnsi="Times New Roman;Times;serif"/>
          <w:sz w:val="18"/>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Redemption, Repurchase and Surrender of Shares. </w:t>
      </w:r>
      <w:r>
        <w:rPr>
          <w:rFonts w:ascii="Times New Roman;Times;serif" w:hAnsi="Times New Roman;Times;serif"/>
          <w:sz w:val="18"/>
        </w:rPr>
        <w:t xml:space="preserve">Subject to the Companies Act, our amended and restated memorandum and articles of association and to any applicable requirements imposed from time to time by the Nasdaq, the Securities and Exchange Commission,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and we may also repurchase any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of our shares on such terms and in such manner as have been approved by our board of directors or by an ordinary resolution of our shareholders.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Variations of Rights of Shares. </w:t>
      </w:r>
      <w:r>
        <w:rPr>
          <w:rFonts w:ascii="Times New Roman;Times;serif" w:hAnsi="Times New Roman;Times;serif"/>
          <w:sz w:val="18"/>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i/>
          <w:sz w:val="18"/>
        </w:rPr>
        <w:t xml:space="preserve">pari passu </w:t>
      </w:r>
      <w:r>
        <w:rPr>
          <w:rFonts w:ascii="Times New Roman;Times;serif" w:hAnsi="Times New Roman;Times;serif"/>
          <w:sz w:val="18"/>
        </w:rPr>
        <w:t>with such existing class of shares.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Issuance of Additional Shares. </w:t>
      </w:r>
      <w:r>
        <w:rPr>
          <w:rFonts w:ascii="Times New Roman;Times;serif" w:hAnsi="Times New Roman;Times;serif"/>
          <w:sz w:val="18"/>
        </w:rPr>
        <w:t>Our amended and restated memorandum of association authorizes our board of directors to issue additional Ordinary Shares from time to time as our board of directors shall determine, to the extent of available authorized but unissued shares.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tbl>
      <w:tblPr>
        <w:tblW w:w="2223" w:type="dxa"/>
        <w:jc w:val="left"/>
        <w:tblInd w:w="0" w:type="dxa"/>
        <w:tblCellMar>
          <w:top w:w="0" w:type="dxa"/>
          <w:left w:w="0" w:type="dxa"/>
          <w:bottom w:w="0" w:type="dxa"/>
          <w:right w:w="0" w:type="dxa"/>
        </w:tblCellMar>
      </w:tblPr>
      <w:tblGrid>
        <w:gridCol w:w="23"/>
        <w:gridCol w:w="170"/>
        <w:gridCol w:w="20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0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designation of the series;</w:t>
            </w:r>
          </w:p>
        </w:tc>
      </w:tr>
    </w:tbl>
    <w:tbl>
      <w:tblPr>
        <w:tblW w:w="2643" w:type="dxa"/>
        <w:jc w:val="left"/>
        <w:tblInd w:w="0" w:type="dxa"/>
        <w:tblCellMar>
          <w:top w:w="0" w:type="dxa"/>
          <w:left w:w="0" w:type="dxa"/>
          <w:bottom w:w="0" w:type="dxa"/>
          <w:right w:w="0" w:type="dxa"/>
        </w:tblCellMar>
      </w:tblPr>
      <w:tblGrid>
        <w:gridCol w:w="23"/>
        <w:gridCol w:w="170"/>
        <w:gridCol w:w="24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number of shares of the series;</w:t>
            </w:r>
          </w:p>
        </w:tc>
      </w:tr>
    </w:tbl>
    <w:tbl>
      <w:tblPr>
        <w:tblW w:w="5043" w:type="dxa"/>
        <w:jc w:val="left"/>
        <w:tblInd w:w="0" w:type="dxa"/>
        <w:tblCellMar>
          <w:top w:w="0" w:type="dxa"/>
          <w:left w:w="0" w:type="dxa"/>
          <w:bottom w:w="0" w:type="dxa"/>
          <w:right w:w="0" w:type="dxa"/>
        </w:tblCellMar>
      </w:tblPr>
      <w:tblGrid>
        <w:gridCol w:w="23"/>
        <w:gridCol w:w="170"/>
        <w:gridCol w:w="48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dividend rights, dividend rights, conversion rights, voting rights;</w:t>
            </w:r>
          </w:p>
        </w:tc>
      </w:tr>
    </w:tbl>
    <w:tbl>
      <w:tblPr>
        <w:tblW w:w="4938" w:type="dxa"/>
        <w:jc w:val="left"/>
        <w:tblInd w:w="0" w:type="dxa"/>
        <w:tblCellMar>
          <w:top w:w="0" w:type="dxa"/>
          <w:left w:w="0" w:type="dxa"/>
          <w:bottom w:w="0" w:type="dxa"/>
          <w:right w:w="0" w:type="dxa"/>
        </w:tblCellMar>
      </w:tblPr>
      <w:tblGrid>
        <w:gridCol w:w="23"/>
        <w:gridCol w:w="170"/>
        <w:gridCol w:w="47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rights and terms of redemption and liquidation preferences; and</w:t>
            </w:r>
          </w:p>
        </w:tc>
      </w:tr>
    </w:tbl>
    <w:tbl>
      <w:tblPr>
        <w:tblW w:w="6543" w:type="dxa"/>
        <w:jc w:val="left"/>
        <w:tblInd w:w="0" w:type="dxa"/>
        <w:tblCellMar>
          <w:top w:w="0" w:type="dxa"/>
          <w:left w:w="0" w:type="dxa"/>
          <w:bottom w:w="0" w:type="dxa"/>
          <w:right w:w="0" w:type="dxa"/>
        </w:tblCellMar>
      </w:tblPr>
      <w:tblGrid>
        <w:gridCol w:w="23"/>
        <w:gridCol w:w="170"/>
        <w:gridCol w:w="63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other powers, preferences and relative, participating, optional and other special rights.</w:t>
            </w:r>
          </w:p>
        </w:tc>
      </w:tr>
    </w:tbl>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Our board of directors may issue preference shares without action by our shareholders to the extent authorized but unissued. Issuance of these shares may dilute the voting power of holders of Ordinary Shares.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Inspection of Books and Records. </w:t>
      </w:r>
      <w:r>
        <w:rPr>
          <w:rFonts w:ascii="Times New Roman;Times;serif" w:hAnsi="Times New Roman;Times;serif"/>
          <w:sz w:val="18"/>
        </w:rPr>
        <w:t>Holders of our Ordinary Shares will have no general right under Cayman Islands law to inspect or obtain copies of our corporate records. However, we will provide our shareholders with annual audited financial statements.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Anti-Takeover Provisions. </w:t>
      </w:r>
      <w:r>
        <w:rPr>
          <w:rFonts w:ascii="Times New Roman;Times;serif" w:hAnsi="Times New Roman;Times;serif"/>
          <w:sz w:val="18"/>
        </w:rPr>
        <w:t>Some provisions of our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6723" w:type="dxa"/>
        <w:jc w:val="left"/>
        <w:tblInd w:w="0" w:type="dxa"/>
        <w:tblCellMar>
          <w:top w:w="0" w:type="dxa"/>
          <w:left w:w="0" w:type="dxa"/>
          <w:bottom w:w="0" w:type="dxa"/>
          <w:right w:w="0" w:type="dxa"/>
        </w:tblCellMar>
      </w:tblPr>
      <w:tblGrid>
        <w:gridCol w:w="23"/>
        <w:gridCol w:w="170"/>
        <w:gridCol w:w="65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limit the ability of shareholders to requisition and convene general meetings of shareholders.</w:t>
            </w:r>
          </w:p>
        </w:tc>
      </w:tr>
    </w:tbl>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Exempted Company.</w:t>
      </w:r>
      <w:r>
        <w:rPr>
          <w:rFonts w:ascii="Times New Roman;Times;serif" w:hAnsi="Times New Roman;Times;serif"/>
          <w:sz w:val="18"/>
        </w:rPr>
        <w:t xml:space="preserve">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firstLine="720"/>
        <w:rPr/>
      </w:pPr>
      <w:r>
        <w:rPr/>
        <w:t>​</w:t>
      </w:r>
    </w:p>
    <w:tbl>
      <w:tblPr>
        <w:tblW w:w="6558" w:type="dxa"/>
        <w:jc w:val="left"/>
        <w:tblInd w:w="0" w:type="dxa"/>
        <w:tblCellMar>
          <w:top w:w="0" w:type="dxa"/>
          <w:left w:w="0" w:type="dxa"/>
          <w:bottom w:w="0" w:type="dxa"/>
          <w:right w:w="0" w:type="dxa"/>
        </w:tblCellMar>
      </w:tblPr>
      <w:tblGrid>
        <w:gridCol w:w="23"/>
        <w:gridCol w:w="170"/>
        <w:gridCol w:w="63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does not have to file an annual return of its shareholders with the Registrar of Companies;</w:t>
            </w:r>
          </w:p>
        </w:tc>
      </w:tr>
    </w:tbl>
    <w:tbl>
      <w:tblPr>
        <w:tblW w:w="4533" w:type="dxa"/>
        <w:jc w:val="left"/>
        <w:tblInd w:w="0" w:type="dxa"/>
        <w:tblCellMar>
          <w:top w:w="0" w:type="dxa"/>
          <w:left w:w="0" w:type="dxa"/>
          <w:bottom w:w="0" w:type="dxa"/>
          <w:right w:w="0" w:type="dxa"/>
        </w:tblCellMar>
      </w:tblPr>
      <w:tblGrid>
        <w:gridCol w:w="23"/>
        <w:gridCol w:w="170"/>
        <w:gridCol w:w="43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 not required to open its register of members for inspection;</w:t>
            </w:r>
          </w:p>
        </w:tc>
      </w:tr>
    </w:tbl>
    <w:tbl>
      <w:tblPr>
        <w:tblW w:w="3648" w:type="dxa"/>
        <w:jc w:val="left"/>
        <w:tblInd w:w="0" w:type="dxa"/>
        <w:tblCellMar>
          <w:top w:w="0" w:type="dxa"/>
          <w:left w:w="0" w:type="dxa"/>
          <w:bottom w:w="0" w:type="dxa"/>
          <w:right w:w="0" w:type="dxa"/>
        </w:tblCellMar>
      </w:tblPr>
      <w:tblGrid>
        <w:gridCol w:w="23"/>
        <w:gridCol w:w="170"/>
        <w:gridCol w:w="3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does not have to hold an annual general meeting;</w:t>
            </w:r>
          </w:p>
        </w:tc>
      </w:tr>
    </w:tbl>
    <w:tbl>
      <w:tblPr>
        <w:tblW w:w="4863" w:type="dxa"/>
        <w:jc w:val="left"/>
        <w:tblInd w:w="0" w:type="dxa"/>
        <w:tblCellMar>
          <w:top w:w="0" w:type="dxa"/>
          <w:left w:w="0" w:type="dxa"/>
          <w:bottom w:w="0" w:type="dxa"/>
          <w:right w:w="0" w:type="dxa"/>
        </w:tblCellMar>
      </w:tblPr>
      <w:tblGrid>
        <w:gridCol w:w="23"/>
        <w:gridCol w:w="170"/>
        <w:gridCol w:w="46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may issue negotiable or bearer shares or shares with no par value;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may obtain an undertaking against the imposition of any future taxation (such undertakings are usually given for 20 years in the first instance);</w:t>
            </w:r>
          </w:p>
        </w:tc>
      </w:tr>
    </w:tbl>
    <w:tbl>
      <w:tblPr>
        <w:tblW w:w="7428" w:type="dxa"/>
        <w:jc w:val="left"/>
        <w:tblInd w:w="0" w:type="dxa"/>
        <w:tblCellMar>
          <w:top w:w="0" w:type="dxa"/>
          <w:left w:w="0" w:type="dxa"/>
          <w:bottom w:w="0" w:type="dxa"/>
          <w:right w:w="0" w:type="dxa"/>
        </w:tblCellMar>
      </w:tblPr>
      <w:tblGrid>
        <w:gridCol w:w="23"/>
        <w:gridCol w:w="170"/>
        <w:gridCol w:w="72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may register by way of continuation in another jurisdiction and be deregistered in the Cayman Islands;</w:t>
            </w:r>
          </w:p>
        </w:tc>
      </w:tr>
    </w:tbl>
    <w:tbl>
      <w:tblPr>
        <w:tblW w:w="3588" w:type="dxa"/>
        <w:jc w:val="left"/>
        <w:tblInd w:w="0" w:type="dxa"/>
        <w:tblCellMar>
          <w:top w:w="0" w:type="dxa"/>
          <w:left w:w="0" w:type="dxa"/>
          <w:bottom w:w="0" w:type="dxa"/>
          <w:right w:w="0" w:type="dxa"/>
        </w:tblCellMar>
      </w:tblPr>
      <w:tblGrid>
        <w:gridCol w:w="23"/>
        <w:gridCol w:w="170"/>
        <w:gridCol w:w="33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may register as a limited duration company; and</w:t>
            </w:r>
          </w:p>
        </w:tc>
      </w:tr>
    </w:tbl>
    <w:tbl>
      <w:tblPr>
        <w:tblW w:w="3588" w:type="dxa"/>
        <w:jc w:val="left"/>
        <w:tblInd w:w="0" w:type="dxa"/>
        <w:tblCellMar>
          <w:top w:w="0" w:type="dxa"/>
          <w:left w:w="0" w:type="dxa"/>
          <w:bottom w:w="0" w:type="dxa"/>
          <w:right w:w="0" w:type="dxa"/>
        </w:tblCellMar>
      </w:tblPr>
      <w:tblGrid>
        <w:gridCol w:w="23"/>
        <w:gridCol w:w="170"/>
        <w:gridCol w:w="33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may register as a segregated portfolio company.</w:t>
            </w:r>
          </w:p>
        </w:tc>
      </w:tr>
    </w:tbl>
    <w:p>
      <w:pPr>
        <w:pStyle w:val="TextBody"/>
        <w:spacing w:before="0" w:after="240"/>
        <w:ind w:left="0" w:right="0" w:firstLine="720"/>
        <w:rPr/>
      </w:pPr>
      <w:r>
        <w:rPr/>
        <w:t>“</w:t>
      </w:r>
      <w:r>
        <w:rPr>
          <w:rFonts w:ascii="Times New Roman;Times;serif" w:hAnsi="Times New Roman;Times;serif"/>
          <w:sz w:val="18"/>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pacing w:before="0" w:after="240"/>
        <w:ind w:left="0" w:right="0" w:hanging="0"/>
        <w:rPr>
          <w:rFonts w:ascii="Times New Roman;Times;serif" w:hAnsi="Times New Roman;Times;serif"/>
          <w:b/>
          <w:i/>
          <w:sz w:val="18"/>
        </w:rPr>
      </w:pPr>
      <w:r>
        <w:rPr>
          <w:rFonts w:ascii="Times New Roman;Times;serif" w:hAnsi="Times New Roman;Times;serif"/>
          <w:b/>
          <w:i/>
          <w:sz w:val="18"/>
        </w:rPr>
        <w:t>Differences in Corporate Law</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Mergers and Similar Arrangements. </w:t>
      </w:r>
      <w:r>
        <w:rPr>
          <w:rFonts w:ascii="Times New Roman;Times;serif" w:hAnsi="Times New Roman;Times;serif"/>
          <w:sz w:val="18"/>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The consent of each holder of a fixed or floating security interest over a constituent company is required unless this requirement is waived by a court in the Cayman Islands.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 xml:space="preserve">Separate from the statutory provisions relating to mergers and consolidations, the Companies Act also contains statutory provisions that facilitate the reconstruction and amalgamation of companies by way of schemes of arrangement,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208" w:type="dxa"/>
        <w:jc w:val="left"/>
        <w:tblInd w:w="0" w:type="dxa"/>
        <w:tblCellMar>
          <w:top w:w="0" w:type="dxa"/>
          <w:left w:w="0" w:type="dxa"/>
          <w:bottom w:w="0" w:type="dxa"/>
          <w:right w:w="0" w:type="dxa"/>
        </w:tblCellMar>
      </w:tblPr>
      <w:tblGrid>
        <w:gridCol w:w="23"/>
        <w:gridCol w:w="170"/>
        <w:gridCol w:w="50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statutory provisions as to the required majority vote have been met;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shareholders have been fairly represented at the meeting in question and the statutory majority are acting bona fide without coercion of the minority to promote interests adverse to those of the class;</w:t>
            </w:r>
          </w:p>
        </w:tc>
      </w:tr>
    </w:tbl>
    <w:tbl>
      <w:tblPr>
        <w:tblW w:w="9993" w:type="dxa"/>
        <w:jc w:val="left"/>
        <w:tblInd w:w="0" w:type="dxa"/>
        <w:tblCellMar>
          <w:top w:w="0" w:type="dxa"/>
          <w:left w:w="0" w:type="dxa"/>
          <w:bottom w:w="0" w:type="dxa"/>
          <w:right w:w="0" w:type="dxa"/>
        </w:tblCellMar>
      </w:tblPr>
      <w:tblGrid>
        <w:gridCol w:w="23"/>
        <w:gridCol w:w="170"/>
        <w:gridCol w:w="98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8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arrangement is such that may be reasonably approved by an intelligent and honest man of that class acting in respect of his interest; and</w:t>
            </w:r>
          </w:p>
        </w:tc>
      </w:tr>
    </w:tbl>
    <w:tbl>
      <w:tblPr>
        <w:tblW w:w="8553" w:type="dxa"/>
        <w:jc w:val="left"/>
        <w:tblInd w:w="0" w:type="dxa"/>
        <w:tblCellMar>
          <w:top w:w="0" w:type="dxa"/>
          <w:left w:w="0" w:type="dxa"/>
          <w:bottom w:w="0" w:type="dxa"/>
          <w:right w:w="0" w:type="dxa"/>
        </w:tblCellMar>
      </w:tblPr>
      <w:tblGrid>
        <w:gridCol w:w="23"/>
        <w:gridCol w:w="170"/>
        <w:gridCol w:w="83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arrangement is not one that would more properly be sanctioned under some other provision of the Companies Act.</w:t>
            </w:r>
          </w:p>
        </w:tc>
      </w:tr>
    </w:tbl>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Shareholders’ Suits.</w:t>
      </w:r>
      <w:r>
        <w:rPr>
          <w:rFonts w:ascii="Times New Roman;Times;serif" w:hAnsi="Times New Roman;Times;serif"/>
          <w:sz w:val="18"/>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tbl>
      <w:tblPr>
        <w:tblW w:w="4188" w:type="dxa"/>
        <w:jc w:val="left"/>
        <w:tblInd w:w="0" w:type="dxa"/>
        <w:tblCellMar>
          <w:top w:w="0" w:type="dxa"/>
          <w:left w:w="0" w:type="dxa"/>
          <w:bottom w:w="0" w:type="dxa"/>
          <w:right w:w="0" w:type="dxa"/>
        </w:tblCellMar>
      </w:tblPr>
      <w:tblGrid>
        <w:gridCol w:w="23"/>
        <w:gridCol w:w="170"/>
        <w:gridCol w:w="39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company acts or proposes to act illegally or ultra vires;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act complained of, although not ultra vires, could only be effected duly if authorized by more than a simple majority vote that has not been obtained; and</w:t>
            </w:r>
          </w:p>
        </w:tc>
      </w:tr>
    </w:tbl>
    <w:tbl>
      <w:tblPr>
        <w:tblW w:w="5433" w:type="dxa"/>
        <w:jc w:val="left"/>
        <w:tblInd w:w="0" w:type="dxa"/>
        <w:tblCellMar>
          <w:top w:w="0" w:type="dxa"/>
          <w:left w:w="0" w:type="dxa"/>
          <w:bottom w:w="0" w:type="dxa"/>
          <w:right w:w="0" w:type="dxa"/>
        </w:tblCellMar>
      </w:tblPr>
      <w:tblGrid>
        <w:gridCol w:w="23"/>
        <w:gridCol w:w="170"/>
        <w:gridCol w:w="5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those who control the company are perpetrating a “fraud on the minority.”</w:t>
            </w:r>
          </w:p>
        </w:tc>
      </w:tr>
    </w:tbl>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Indemnification of Directors and Executive Officers and Limitation of Liability. </w:t>
      </w:r>
      <w:r>
        <w:rPr>
          <w:rFonts w:ascii="Times New Roman;Times;serif" w:hAnsi="Times New Roman;Times;serif"/>
          <w:sz w:val="18"/>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In addition, we have entered into indemnification agreements with our directors and executive officers that provide such persons with additional indemnification beyond that provided in our amended and restated memorandum and articles of association.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Directors’ Fiduciary Duties. </w:t>
      </w:r>
      <w:r>
        <w:rPr>
          <w:rFonts w:ascii="Times New Roman;Times;serif" w:hAnsi="Times New Roman;Times;serif"/>
          <w:sz w:val="18"/>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As a matter of Cayman Islands law, a director of a Cayman Islands exempted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exempted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Shareholder Action by Written Resolution. </w:t>
      </w:r>
      <w:r>
        <w:rPr>
          <w:rFonts w:ascii="Times New Roman;Times;serif" w:hAnsi="Times New Roman;Times;serif"/>
          <w:sz w:val="18"/>
        </w:rPr>
        <w:t>Under the Delaware General Corporation Law, a corporation may eliminate the right of shareholders to act 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Shareholder Proposals. </w:t>
      </w:r>
      <w:r>
        <w:rPr>
          <w:rFonts w:ascii="Times New Roman;Times;serif" w:hAnsi="Times New Roman;Times;serif"/>
          <w:sz w:val="18"/>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The Companies Act provides shareholders with only limited rights to requisition a general meeting. However, these rights may be provided in a company’s articles of association. Our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As a Cayman Islands exempted company, we may but are not obliged by law to call shareholders’ annual general meetings. See “––Memorandum and Articles of Association––General Meetings of Shareholders” for more information on the rights of our shareholders’ rights to put proposals before the annual general meeting.</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Cumulative Voting. </w:t>
      </w:r>
      <w:r>
        <w:rPr>
          <w:rFonts w:ascii="Times New Roman;Times;serif" w:hAnsi="Times New Roman;Times;serif"/>
          <w:sz w:val="18"/>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Removal of Directors. </w:t>
      </w:r>
      <w:r>
        <w:rPr>
          <w:rFonts w:ascii="Times New Roman;Times;serif" w:hAnsi="Times New Roman;Times;serif"/>
          <w:sz w:val="18"/>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Transactions with Interested Shareholders. </w:t>
      </w:r>
      <w:r>
        <w:rPr>
          <w:rFonts w:ascii="Times New Roman;Times;serif" w:hAnsi="Times New Roman;Times;serif"/>
          <w:sz w:val="18"/>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firstLine="547"/>
        <w:rPr/>
      </w:pPr>
      <w:r>
        <w:rPr/>
        <w:t>​</w:t>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Dissolution; Winding up. </w:t>
      </w:r>
      <w:r>
        <w:rPr>
          <w:rFonts w:ascii="Times New Roman;Times;serif" w:hAnsi="Times New Roman;Times;serif"/>
          <w:sz w:val="18"/>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articles of association, our company may be dissolved, liquidated or wound up by a special resolution of our shareholders.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Variation of Rights of Shares. </w:t>
      </w:r>
      <w:r>
        <w:rPr>
          <w:rFonts w:ascii="Times New Roman;Times;serif" w:hAnsi="Times New Roman;Times;serif"/>
          <w:sz w:val="18"/>
        </w:rPr>
        <w:t>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Amendment of Governing Documents. </w:t>
      </w:r>
      <w:r>
        <w:rPr>
          <w:rFonts w:ascii="Times New Roman;Times;serif" w:hAnsi="Times New Roman;Times;serif"/>
          <w:sz w:val="18"/>
        </w:rPr>
        <w:t>Under the Delaware General Corporation Law, a corporation’s governing documents may be amended with the approval of a majority of the outstanding shares entitled to vote, unless the certificate of incorporation provides otherwise. Under the Companies Act and our amended and restated memorandum and articles of association, our memorandum and articles of association may only be amended by a special resolution of our shareholders.</w:t>
      </w:r>
    </w:p>
    <w:p>
      <w:pPr>
        <w:pStyle w:val="TextBody"/>
        <w:spacing w:before="0" w:after="240"/>
        <w:ind w:left="0" w:right="0" w:firstLine="720"/>
        <w:rPr>
          <w:rFonts w:ascii="Times New Roman;Times;serif" w:hAnsi="Times New Roman;Times;serif"/>
          <w:sz w:val="18"/>
        </w:rPr>
      </w:pPr>
      <w:r>
        <w:rPr>
          <w:rFonts w:ascii="Times New Roman;Times;serif" w:hAnsi="Times New Roman;Times;serif"/>
          <w:i/>
          <w:sz w:val="18"/>
        </w:rPr>
        <w:t xml:space="preserve">Rights of Non-resident or Foreign Shareholders. </w:t>
      </w:r>
      <w:r>
        <w:rPr>
          <w:rFonts w:ascii="Times New Roman;Times;serif" w:hAnsi="Times New Roman;Times;serif"/>
          <w:sz w:val="18"/>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spacing w:before="0" w:after="240"/>
        <w:ind w:left="0" w:right="0" w:hanging="0"/>
        <w:rPr>
          <w:rFonts w:ascii="Times New Roman;Times;serif" w:hAnsi="Times New Roman;Times;serif"/>
          <w:b/>
          <w:sz w:val="18"/>
        </w:rPr>
      </w:pPr>
      <w:r>
        <w:rPr>
          <w:rFonts w:ascii="Times New Roman;Times;serif" w:hAnsi="Times New Roman;Times;serif"/>
          <w:b/>
          <w:sz w:val="18"/>
        </w:rPr>
        <w:t>Description of Debt Securities, Warrants and Rights and Other Securities (Items 12.A, 12.B and 12.C of Form 20-F)</w:t>
      </w:r>
    </w:p>
    <w:p>
      <w:pPr>
        <w:pStyle w:val="TextBody"/>
        <w:spacing w:before="0" w:after="240"/>
        <w:ind w:left="0" w:right="0" w:firstLine="546"/>
        <w:rPr>
          <w:rFonts w:ascii="Times New Roman;Times;serif" w:hAnsi="Times New Roman;Times;serif"/>
          <w:sz w:val="18"/>
        </w:rPr>
      </w:pPr>
      <w:r>
        <w:rPr>
          <w:rFonts w:ascii="Times New Roman;Times;serif" w:hAnsi="Times New Roman;Times;serif"/>
          <w:sz w:val="18"/>
        </w:rPr>
        <w:t>Not applicable.</w:t>
      </w:r>
    </w:p>
    <w:p>
      <w:pPr>
        <w:pStyle w:val="TextBody"/>
        <w:spacing w:before="0" w:after="240"/>
        <w:ind w:left="0" w:right="0" w:hanging="0"/>
        <w:rPr>
          <w:rFonts w:ascii="Times New Roman;Times;serif" w:hAnsi="Times New Roman;Times;serif"/>
          <w:b/>
          <w:sz w:val="18"/>
        </w:rPr>
      </w:pPr>
      <w:r>
        <w:rPr>
          <w:rFonts w:ascii="Times New Roman;Times;serif" w:hAnsi="Times New Roman;Times;serif"/>
          <w:b/>
          <w:sz w:val="18"/>
        </w:rPr>
        <w:t>Description of American Depositary Shares (Items 12.D.1 and 12.D.2 of Form 20-F)</w:t>
      </w:r>
    </w:p>
    <w:p>
      <w:pPr>
        <w:pStyle w:val="TextBody"/>
        <w:spacing w:before="0" w:after="240"/>
        <w:ind w:left="0" w:right="0" w:firstLine="546"/>
        <w:rPr>
          <w:rFonts w:ascii="Times New Roman;Times;serif" w:hAnsi="Times New Roman;Times;serif"/>
          <w:sz w:val="18"/>
        </w:rPr>
      </w:pPr>
      <w:r>
        <w:rPr>
          <w:rFonts w:ascii="Times New Roman;Times;serif" w:hAnsi="Times New Roman;Times;serif"/>
          <w:sz w:val="18"/>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045" w:name="btdr-20221231xex4d6.htm"/>
      <w:bookmarkStart w:id="2046" w:name="ksbtdr20221231xex4d6"/>
      <w:bookmarkEnd w:id="2045"/>
      <w:bookmarkEnd w:id="2046"/>
      <w:r>
        <w:rPr>
          <w:rFonts w:ascii="Times New Roman;Times;serif" w:hAnsi="Times New Roman;Times;serif"/>
          <w:b/>
          <w:sz w:val="20"/>
        </w:rPr>
        <w:t>Exhibit 4.6</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BITDEER TECHNOLOGIES GROUP</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2023 SHARE INCENTIVE PLAN</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PURPOSE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purpose of this </w:t>
      </w:r>
      <w:r>
        <w:rPr>
          <w:rFonts w:ascii="Times New Roman;Times;serif" w:hAnsi="Times New Roman;Times;serif"/>
          <w:b/>
          <w:sz w:val="20"/>
        </w:rPr>
        <w:t>2023 SHARE INCENTIVE PLAN </w:t>
      </w:r>
      <w:r>
        <w:rPr>
          <w:rFonts w:ascii="Times New Roman;Times;serif" w:hAnsi="Times New Roman;Times;serif"/>
          <w:sz w:val="20"/>
        </w:rPr>
        <w:t>is to promote the success and enhance the valueof </w:t>
      </w:r>
      <w:r>
        <w:rPr>
          <w:rFonts w:ascii="Times New Roman;Times;serif" w:hAnsi="Times New Roman;Times;serif"/>
          <w:b/>
          <w:sz w:val="20"/>
        </w:rPr>
        <w:t>Bitdeer Technologies Group</w:t>
      </w:r>
      <w:r>
        <w:rPr>
          <w:rFonts w:ascii="Times New Roman;Times;serif" w:hAnsi="Times New Roman;Times;serif"/>
          <w:sz w:val="20"/>
        </w:rPr>
        <w:t>, a business company formed under the laws of the Cayman Islands (the “</w:t>
      </w:r>
      <w:r>
        <w:rPr>
          <w:rFonts w:ascii="Times New Roman;Times;serif" w:hAnsi="Times New Roman;Times;serif"/>
          <w:b/>
          <w:sz w:val="20"/>
        </w:rPr>
        <w:t>Company</w:t>
      </w:r>
      <w:r>
        <w:rPr>
          <w:rFonts w:ascii="Times New Roman;Times;serif" w:hAnsi="Times New Roman;Times;serif"/>
          <w:sz w:val="20"/>
        </w:rPr>
        <w:t>”), by linking the personal interests of the Directors, Employees, Consultants, and other Persons to those of the Company’s shareholders and by providing such individuals with an incentive for outstanding performance to generate superior returns to the Company’s shareholders. The Plan is furtherintended to provide flexibility to the Company in its ability to motivate, attract, and retain the services of the above individuals upon whose judgment, interest, and special effort the successful conduct of the Company’s operation is largely dependent.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2</w:t>
      </w:r>
    </w:p>
    <w:p>
      <w:pPr>
        <w:pStyle w:val="TextBody"/>
        <w:spacing w:before="0" w:after="0"/>
        <w:ind w:left="2880" w:right="0" w:firstLine="108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DEFINITIONS AND CONSTRUCTION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Wherever the following terms are used in the Plan they shall have the meanings specified below, unless the context clearly indicates otherwise. The singular pronoun shall include the plural where the context so indicates.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            </w:t>
      </w:r>
      <w:r>
        <w:rPr>
          <w:rFonts w:ascii="Times New Roman;Times;serif" w:hAnsi="Times New Roman;Times;serif"/>
          <w:sz w:val="20"/>
        </w:rPr>
        <w:t>“</w:t>
      </w:r>
      <w:r>
        <w:rPr>
          <w:rFonts w:ascii="Times New Roman;Times;serif" w:hAnsi="Times New Roman;Times;serif"/>
          <w:b/>
          <w:sz w:val="20"/>
        </w:rPr>
        <w:t>Applicable Laws</w:t>
      </w:r>
      <w:r>
        <w:rPr>
          <w:rFonts w:ascii="Times New Roman;Times;serif" w:hAnsi="Times New Roman;Times;serif"/>
          <w:sz w:val="20"/>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            </w:t>
      </w:r>
      <w:r>
        <w:rPr>
          <w:rFonts w:ascii="Times New Roman;Times;serif" w:hAnsi="Times New Roman;Times;serif"/>
          <w:sz w:val="20"/>
        </w:rPr>
        <w:t>“</w:t>
      </w:r>
      <w:r>
        <w:rPr>
          <w:rFonts w:ascii="Times New Roman;Times;serif" w:hAnsi="Times New Roman;Times;serif"/>
          <w:b/>
          <w:sz w:val="20"/>
        </w:rPr>
        <w:t>A&amp;R Merger Agreement</w:t>
      </w:r>
      <w:r>
        <w:rPr>
          <w:rFonts w:ascii="Times New Roman;Times;serif" w:hAnsi="Times New Roman;Times;serif"/>
          <w:sz w:val="20"/>
        </w:rPr>
        <w:t>” means the Amended and Restated Agreement and Plan of Merger, dated as of December 15, 2021, by and among Bitdeer Technologies Holding Company, an exempted company with limited liability incorporated under the laws of the Cayman Islands, the Company, Blue Safari Merge Limited, a British Virgin Islands business company and a wholly-owned subsidiary of the Company, Blue Safari Merge II Limited, a British Virgin Islands business company and a wholly-owned subsidiary of the Company, Bitdeer Merge Limited, an exempted company with limited liability incorporated under the laws of the Cayman Islands and a wholly-owned subsidiary of the Company, Blue Safari Group Acquisition Corp., a British Virgin Islands business company and Blue Safari Mini Corp, an exempted company with limited liability incorporated under the laws of the Cayman Islands and a wholly-owned subsidiary of Blue Safari Group Acquisition Corp.</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2.3            </w:t>
      </w:r>
      <w:r>
        <w:rPr>
          <w:rFonts w:ascii="Times New Roman;Times;serif" w:hAnsi="Times New Roman;Times;serif"/>
          <w:sz w:val="20"/>
        </w:rPr>
        <w:t>“</w:t>
      </w:r>
      <w:r>
        <w:rPr>
          <w:rFonts w:ascii="Times New Roman;Times;serif" w:hAnsi="Times New Roman;Times;serif"/>
          <w:b/>
          <w:sz w:val="20"/>
        </w:rPr>
        <w:t>Award</w:t>
      </w:r>
      <w:r>
        <w:rPr>
          <w:rFonts w:ascii="Times New Roman;Times;serif" w:hAnsi="Times New Roman;Times;serif"/>
          <w:sz w:val="20"/>
        </w:rPr>
        <w:t>” means an Option, Restricted Share or Restricted Share Unit award(s) granted to a Participant pursuant to the Plan, and an Award may consist of one such security or benefit, or two or more of them in any combination or alternative.</w:t>
      </w:r>
    </w:p>
    <w:p>
      <w:pPr>
        <w:pStyle w:val="TextBody"/>
        <w:spacing w:before="0" w:after="0"/>
        <w:ind w:left="0" w:right="0" w:hanging="0"/>
        <w:jc w:val="both"/>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2.4</w:t>
      </w:r>
      <w:r>
        <w:rPr>
          <w:rFonts w:ascii="Times New Roman;Times;serif" w:hAnsi="Times New Roman;Times;serif"/>
          <w:sz w:val="20"/>
        </w:rPr>
        <w:t>            “</w:t>
      </w:r>
      <w:r>
        <w:rPr>
          <w:rFonts w:ascii="Times New Roman;Times;serif" w:hAnsi="Times New Roman;Times;serif"/>
          <w:b/>
          <w:sz w:val="20"/>
        </w:rPr>
        <w:t>Board</w:t>
      </w:r>
      <w:r>
        <w:rPr>
          <w:rFonts w:ascii="Times New Roman;Times;serif" w:hAnsi="Times New Roman;Times;serif"/>
          <w:sz w:val="20"/>
        </w:rPr>
        <w:t>” means the board of directors of the Company.</w:t>
      </w:r>
    </w:p>
    <w:p>
      <w:pPr>
        <w:pStyle w:val="TextBody"/>
        <w:spacing w:before="0" w:after="0"/>
        <w:ind w:left="0" w:right="0" w:firstLine="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2.5            </w:t>
      </w:r>
      <w:r>
        <w:rPr>
          <w:rFonts w:ascii="Times New Roman;Times;serif" w:hAnsi="Times New Roman;Times;serif"/>
          <w:sz w:val="20"/>
        </w:rPr>
        <w:t>“</w:t>
      </w:r>
      <w:r>
        <w:rPr>
          <w:rFonts w:ascii="Times New Roman;Times;serif" w:hAnsi="Times New Roman;Times;serif"/>
          <w:b/>
          <w:sz w:val="20"/>
        </w:rPr>
        <w:t>Cause</w:t>
      </w:r>
      <w:r>
        <w:rPr>
          <w:rFonts w:ascii="Times New Roman;Times;serif" w:hAnsi="Times New Roman;Times;serif"/>
          <w:sz w:val="20"/>
        </w:rPr>
        <w:t>” with respect to a Participant means (unless otherwise expressly provided in the applicable Notice of Grant, or another applicable contract with the Participant that defines such term for purposes of determining the effect that a “</w:t>
      </w:r>
      <w:r>
        <w:rPr>
          <w:rFonts w:ascii="Times New Roman;Times;serif" w:hAnsi="Times New Roman;Times;serif"/>
          <w:b/>
          <w:sz w:val="20"/>
        </w:rPr>
        <w:t>for cause</w:t>
      </w:r>
      <w:r>
        <w:rPr>
          <w:rFonts w:ascii="Times New Roman;Times;serif" w:hAnsi="Times New Roman;Times;serif"/>
          <w:sz w:val="20"/>
        </w:rPr>
        <w:t>” termination has on the Participant’s Awards) each of the following and the determination of the existence of Cause shall be determined by the Committee:</w:t>
      </w:r>
    </w:p>
    <w:p>
      <w:pPr>
        <w:pStyle w:val="TextBody"/>
        <w:spacing w:before="0" w:after="0"/>
        <w:ind w:left="0" w:right="0" w:hanging="0"/>
        <w:rPr/>
      </w:pPr>
      <w:r>
        <w:rPr/>
        <w:t>​</w:t>
      </w:r>
    </w:p>
    <w:p>
      <w:pPr>
        <w:pStyle w:val="TextBody"/>
        <w:spacing w:before="0" w:after="160"/>
        <w:ind w:left="0" w:right="0" w:hanging="0"/>
        <w:rPr/>
      </w:pPr>
      <w:r>
        <w:rPr/>
        <w:t>​</w:t>
      </w:r>
    </w:p>
    <w:p>
      <w:pPr>
        <w:pStyle w:val="HorizontalLine"/>
        <w:rPr/>
      </w:pPr>
      <w:r>
        <w:rPr/>
      </w:r>
    </w:p>
    <w:p>
      <w:pPr>
        <w:pStyle w:val="TextBody"/>
        <w:spacing w:before="0" w:after="16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the Participant has been negligent in the discharge of his or her duties to the Service Recipient, has refused to perform stated or assigned duties or is incompetent in or (other than by reason of a disability or analogous condition) incapable of performing those duties;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w:t>
      </w:r>
      <w:r>
        <w:rPr>
          <w:rFonts w:ascii="Times New Roman;Times;serif" w:hAnsi="Times New Roman;Times;serif"/>
          <w:sz w:val="20"/>
        </w:rPr>
        <w:t>the Participant has been dishonest or committed or engaged in an act of theft, embezzlement or fraud, a breach of confidentiality, an unauthorized disclosure or use of inside information, customer lists, trade secrets or other confidential information;</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(c)            </w:t>
      </w:r>
      <w:r>
        <w:rPr>
          <w:rFonts w:ascii="Times New Roman;Times;serif" w:hAnsi="Times New Roman;Times;serif"/>
          <w:sz w:val="20"/>
        </w:rPr>
        <w:t>the Participant 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(d)            </w:t>
      </w:r>
      <w:r>
        <w:rPr>
          <w:rFonts w:ascii="Times New Roman;Times;serif" w:hAnsi="Times New Roman;Times;serif"/>
          <w:sz w:val="20"/>
        </w:rPr>
        <w:t>the Participant has materially breached any of the provisions of any agreement with the Service Recipient;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(e)            </w:t>
      </w:r>
      <w:r>
        <w:rPr>
          <w:rFonts w:ascii="Times New Roman;Times;serif" w:hAnsi="Times New Roman;Times;serif"/>
          <w:sz w:val="20"/>
        </w:rPr>
        <w:t>the Participant has engaged in unfair competition with, or otherwise acted intentionally in a manner injurious to the reputation, business, or assets of, the Service Recipient; or</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(f)            </w:t>
      </w:r>
      <w:r>
        <w:rPr>
          <w:rFonts w:ascii="Times New Roman;Times;serif" w:hAnsi="Times New Roman;Times;serif"/>
          <w:sz w:val="20"/>
        </w:rPr>
        <w:t>the Participant has improperly induced a vendor or customer to break or terminate any contract with the Service Recipient or induced a principal for whom the Service Recipient acts as agent to terminate such agency relationship.</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2.6</w:t>
      </w:r>
      <w:r>
        <w:rPr>
          <w:rFonts w:ascii="Times New Roman;Times;serif" w:hAnsi="Times New Roman;Times;serif"/>
          <w:sz w:val="20"/>
        </w:rPr>
        <w:t> “         </w:t>
      </w:r>
      <w:r>
        <w:rPr>
          <w:rFonts w:ascii="Times New Roman;Times;serif" w:hAnsi="Times New Roman;Times;serif"/>
          <w:b/>
          <w:sz w:val="20"/>
        </w:rPr>
        <w:t>Code</w:t>
      </w:r>
      <w:r>
        <w:rPr>
          <w:rFonts w:ascii="Times New Roman;Times;serif" w:hAnsi="Times New Roman;Times;serif"/>
          <w:sz w:val="20"/>
        </w:rPr>
        <w:t>” means the Internal Revenue Code of 1986 of the United States, as amended.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2.7</w:t>
      </w:r>
      <w:r>
        <w:rPr>
          <w:rFonts w:ascii="Times New Roman;Times;serif" w:hAnsi="Times New Roman;Times;serif"/>
          <w:sz w:val="20"/>
        </w:rPr>
        <w:t> “         </w:t>
      </w:r>
      <w:r>
        <w:rPr>
          <w:rFonts w:ascii="Times New Roman;Times;serif" w:hAnsi="Times New Roman;Times;serif"/>
          <w:b/>
          <w:sz w:val="20"/>
        </w:rPr>
        <w:t>Committee</w:t>
      </w:r>
      <w:r>
        <w:rPr>
          <w:rFonts w:ascii="Times New Roman;Times;serif" w:hAnsi="Times New Roman;Times;serif"/>
          <w:sz w:val="20"/>
        </w:rPr>
        <w:t>” means a committee of the Board described in </w:t>
      </w:r>
      <w:r>
        <w:rPr>
          <w:rFonts w:ascii="Times New Roman;Times;serif" w:hAnsi="Times New Roman;Times;serif"/>
          <w:b/>
          <w:sz w:val="20"/>
        </w:rPr>
        <w:t>Article 10</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2.8            </w:t>
      </w:r>
      <w:r>
        <w:rPr>
          <w:rFonts w:ascii="Times New Roman;Times;serif" w:hAnsi="Times New Roman;Times;serif"/>
          <w:sz w:val="20"/>
        </w:rPr>
        <w:t>“</w:t>
      </w:r>
      <w:r>
        <w:rPr>
          <w:rFonts w:ascii="Times New Roman;Times;serif" w:hAnsi="Times New Roman;Times;serif"/>
          <w:b/>
          <w:sz w:val="20"/>
        </w:rPr>
        <w:t>Consultant</w:t>
      </w:r>
      <w:r>
        <w:rPr>
          <w:rFonts w:ascii="Times New Roman;Times;serif" w:hAnsi="Times New Roman;Times;serif"/>
          <w:sz w:val="20"/>
        </w:rPr>
        <w:t>” means any Person who renders services directly or indirectly to a Service Recipient and recognized by the Committee; provided that such services are not in connection with the offer or sale of securities in a capital-raising transaction and do not directly or indirectly promote or maintain a market for the Company’s securities.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2.9            </w:t>
      </w:r>
      <w:r>
        <w:rPr>
          <w:rFonts w:ascii="Times New Roman;Times;serif" w:hAnsi="Times New Roman;Times;serif"/>
          <w:sz w:val="20"/>
        </w:rPr>
        <w:t>“</w:t>
      </w:r>
      <w:r>
        <w:rPr>
          <w:rFonts w:ascii="Times New Roman;Times;serif" w:hAnsi="Times New Roman;Times;serif"/>
          <w:b/>
          <w:sz w:val="20"/>
        </w:rPr>
        <w:t>Corporate Transaction</w:t>
      </w:r>
      <w:r>
        <w:rPr>
          <w:rFonts w:ascii="Times New Roman;Times;serif" w:hAnsi="Times New Roman;Times;serif"/>
          <w:sz w:val="20"/>
        </w:rPr>
        <w:t>”, unless otherwise defined in a Notice of Grant, means any of the following transactions, provided, however, that the Committee may determine, under (d) and (e) whether multiple transactions are related, and its determination shall be final, binding and conclusive:</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the sale, transfer or other disposition of all or substantially all of the assets of the Company;</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the complete liquidation or dissolution of the Company;</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(d)            </w:t>
      </w:r>
      <w:r>
        <w:rPr>
          <w:rFonts w:ascii="Times New Roman;Times;serif" w:hAnsi="Times New Roman;Times;serif"/>
          <w:sz w:val="20"/>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or beneficially owned such securities immediately prior to such takeover or the initial transaction culminating in such takeover, but excluding any such transaction or series of related transactions that the Committee determines shall not be a Corporate Transaction;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12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(e)            </w:t>
      </w:r>
      <w:r>
        <w:rPr>
          <w:rFonts w:ascii="Times New Roman;Times;serif" w:hAnsi="Times New Roman;Times;serif"/>
          <w:sz w:val="20"/>
        </w:rPr>
        <w:t>acquisition in a single or series of related transactions by any Person or related group of Persons (other than the Company, or a person that directly or indirectly controls, is controlled by or is under common control with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2.10          </w:t>
      </w:r>
      <w:r>
        <w:rPr>
          <w:rFonts w:ascii="Times New Roman;Times;serif" w:hAnsi="Times New Roman;Times;serif"/>
          <w:sz w:val="20"/>
        </w:rPr>
        <w:t>“</w:t>
      </w:r>
      <w:r>
        <w:rPr>
          <w:rFonts w:ascii="Times New Roman;Times;serif" w:hAnsi="Times New Roman;Times;serif"/>
          <w:b/>
          <w:sz w:val="20"/>
        </w:rPr>
        <w:t>Director</w:t>
      </w:r>
      <w:r>
        <w:rPr>
          <w:rFonts w:ascii="Times New Roman;Times;serif" w:hAnsi="Times New Roman;Times;serif"/>
          <w:sz w:val="20"/>
        </w:rPr>
        <w:t>” means a member of the Board or a member of the board of directors of any Parent, Subsidiary or Related Entity of the Company.</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2.11          </w:t>
      </w:r>
      <w:r>
        <w:rPr>
          <w:rFonts w:ascii="Times New Roman;Times;serif" w:hAnsi="Times New Roman;Times;serif"/>
          <w:sz w:val="20"/>
        </w:rPr>
        <w:t>“</w:t>
      </w:r>
      <w:r>
        <w:rPr>
          <w:rFonts w:ascii="Times New Roman;Times;serif" w:hAnsi="Times New Roman;Times;serif"/>
          <w:b/>
          <w:sz w:val="20"/>
        </w:rPr>
        <w:t>Disability</w:t>
      </w:r>
      <w:r>
        <w:rPr>
          <w:rFonts w:ascii="Times New Roman;Times;serif" w:hAnsi="Times New Roman;Times;serif"/>
          <w:sz w:val="20"/>
        </w:rPr>
        <w:t>”, unless otherwise defined in a Notice of Grant,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2.12         </w:t>
      </w:r>
      <w:r>
        <w:rPr>
          <w:rFonts w:ascii="Times New Roman;Times;serif" w:hAnsi="Times New Roman;Times;serif"/>
          <w:sz w:val="20"/>
        </w:rPr>
        <w:t> “</w:t>
      </w:r>
      <w:r>
        <w:rPr>
          <w:rFonts w:ascii="Times New Roman;Times;serif" w:hAnsi="Times New Roman;Times;serif"/>
          <w:b/>
          <w:sz w:val="20"/>
        </w:rPr>
        <w:t>Effective Date</w:t>
      </w:r>
      <w:r>
        <w:rPr>
          <w:rFonts w:ascii="Times New Roman;Times;serif" w:hAnsi="Times New Roman;Times;serif"/>
          <w:sz w:val="20"/>
        </w:rPr>
        <w:t>” shall have the meaning set forth in </w:t>
      </w:r>
      <w:r>
        <w:rPr>
          <w:rFonts w:ascii="Times New Roman;Times;serif" w:hAnsi="Times New Roman;Times;serif"/>
          <w:b/>
          <w:sz w:val="20"/>
        </w:rPr>
        <w:t>Section 11.1</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2.13          </w:t>
      </w:r>
      <w:r>
        <w:rPr>
          <w:rFonts w:ascii="Times New Roman;Times;serif" w:hAnsi="Times New Roman;Times;serif"/>
          <w:sz w:val="20"/>
        </w:rPr>
        <w:t>“</w:t>
      </w:r>
      <w:r>
        <w:rPr>
          <w:rFonts w:ascii="Times New Roman;Times;serif" w:hAnsi="Times New Roman;Times;serif"/>
          <w:b/>
          <w:sz w:val="20"/>
        </w:rPr>
        <w:t>Employee</w:t>
      </w:r>
      <w:r>
        <w:rPr>
          <w:rFonts w:ascii="Times New Roman;Times;serif" w:hAnsi="Times New Roman;Times;serif"/>
          <w:sz w:val="20"/>
        </w:rPr>
        <w:t>” means any person, including an officer of the Company or any Parent, Subsidiary or Related Entity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w:t>
      </w:r>
      <w:r>
        <w:rPr>
          <w:rFonts w:ascii="Times New Roman;Times;serif" w:hAnsi="Times New Roman;Times;serif"/>
          <w:b/>
          <w:sz w:val="20"/>
        </w:rPr>
        <w:t>employment</w:t>
      </w:r>
      <w:r>
        <w:rPr>
          <w:rFonts w:ascii="Times New Roman;Times;serif" w:hAnsi="Times New Roman;Times;serif"/>
          <w:sz w:val="20"/>
        </w:rPr>
        <w:t>” by the Service Recipient.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2.14          </w:t>
      </w:r>
      <w:r>
        <w:rPr>
          <w:rFonts w:ascii="Times New Roman;Times;serif" w:hAnsi="Times New Roman;Times;serif"/>
          <w:sz w:val="20"/>
        </w:rPr>
        <w:t>“</w:t>
      </w:r>
      <w:r>
        <w:rPr>
          <w:rFonts w:ascii="Times New Roman;Times;serif" w:hAnsi="Times New Roman;Times;serif"/>
          <w:b/>
          <w:sz w:val="20"/>
        </w:rPr>
        <w:t>Exchange Act</w:t>
      </w:r>
      <w:r>
        <w:rPr>
          <w:rFonts w:ascii="Times New Roman;Times;serif" w:hAnsi="Times New Roman;Times;serif"/>
          <w:sz w:val="20"/>
        </w:rPr>
        <w:t>” means the Securities Exchange Act of 1934 of the United States, as amended.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2.15</w:t>
      </w:r>
      <w:r>
        <w:rPr>
          <w:rFonts w:ascii="Times New Roman;Times;serif" w:hAnsi="Times New Roman;Times;serif"/>
          <w:sz w:val="20"/>
        </w:rPr>
        <w:t>          “</w:t>
      </w:r>
      <w:r>
        <w:rPr>
          <w:rFonts w:ascii="Times New Roman;Times;serif" w:hAnsi="Times New Roman;Times;serif"/>
          <w:b/>
          <w:sz w:val="20"/>
        </w:rPr>
        <w:t>Fair Market Value</w:t>
      </w:r>
      <w:r>
        <w:rPr>
          <w:rFonts w:ascii="Times New Roman;Times;serif" w:hAnsi="Times New Roman;Times;serif"/>
          <w:sz w:val="20"/>
        </w:rPr>
        <w:t>” means, as of any date, the value of Shares determined as follows: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If the Shares are listed on one or more established stock exchanges or national market systems, including without limitation, The New York Stock Exchange and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w:t>
      </w:r>
      <w:r>
        <w:rPr>
          <w:rFonts w:ascii="Times New Roman;Times;serif" w:hAnsi="Times New Roman;Times;serif"/>
          <w:sz w:val="20"/>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pStyle w:val="TextBody"/>
        <w:spacing w:before="0" w:after="0"/>
        <w:ind w:left="0" w:right="0" w:hanging="0"/>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16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(c)            </w:t>
      </w:r>
      <w:r>
        <w:rPr>
          <w:rFonts w:ascii="Times New Roman;Times;serif" w:hAnsi="Times New Roman;Times;serif"/>
          <w:sz w:val="20"/>
        </w:rPr>
        <w:t>In the absence of an established market for the Shares of the type described in (a) and (b), above, the Fair Market Value thereof shall be determined by the Committee in good faith and in its discretion by reference to one or more of the following and such Fair Market Value shall be binding on all participants: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or (iv) such other methodologies or information as the Committee determines, to be indicative of Fair Market Value and relevant.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2.16          </w:t>
      </w:r>
      <w:r>
        <w:rPr>
          <w:rFonts w:ascii="Times New Roman;Times;serif" w:hAnsi="Times New Roman;Times;serif"/>
          <w:sz w:val="20"/>
        </w:rPr>
        <w:t>“</w:t>
      </w:r>
      <w:r>
        <w:rPr>
          <w:rFonts w:ascii="Times New Roman;Times;serif" w:hAnsi="Times New Roman;Times;serif"/>
          <w:b/>
          <w:sz w:val="20"/>
        </w:rPr>
        <w:t>Incentive Share Option</w:t>
      </w:r>
      <w:r>
        <w:rPr>
          <w:rFonts w:ascii="Times New Roman;Times;serif" w:hAnsi="Times New Roman;Times;serif"/>
          <w:sz w:val="20"/>
        </w:rPr>
        <w:t>” means an Option that is intended to meet the requirements of Section 422 of the Code or any successor provision thereto.</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2.17          </w:t>
      </w:r>
      <w:r>
        <w:rPr>
          <w:rFonts w:ascii="Times New Roman;Times;serif" w:hAnsi="Times New Roman;Times;serif"/>
          <w:sz w:val="20"/>
        </w:rPr>
        <w:t>“</w:t>
      </w:r>
      <w:r>
        <w:rPr>
          <w:rFonts w:ascii="Times New Roman;Times;serif" w:hAnsi="Times New Roman;Times;serif"/>
          <w:b/>
          <w:sz w:val="20"/>
        </w:rPr>
        <w:t>Independent Director</w:t>
      </w:r>
      <w:r>
        <w:rPr>
          <w:rFonts w:ascii="Times New Roman;Times;serif" w:hAnsi="Times New Roman;Times;serif"/>
          <w:sz w:val="20"/>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2.18          </w:t>
      </w:r>
      <w:r>
        <w:rPr>
          <w:rFonts w:ascii="Times New Roman;Times;serif" w:hAnsi="Times New Roman;Times;serif"/>
          <w:sz w:val="20"/>
        </w:rPr>
        <w:t>“</w:t>
      </w:r>
      <w:r>
        <w:rPr>
          <w:rFonts w:ascii="Times New Roman;Times;serif" w:hAnsi="Times New Roman;Times;serif"/>
          <w:b/>
          <w:sz w:val="20"/>
        </w:rPr>
        <w:t>Non-Employee Director</w:t>
      </w:r>
      <w:r>
        <w:rPr>
          <w:rFonts w:ascii="Times New Roman;Times;serif" w:hAnsi="Times New Roman;Times;serif"/>
          <w:sz w:val="20"/>
        </w:rPr>
        <w:t>” means a member of the Board who qualifies as a “</w:t>
      </w:r>
      <w:r>
        <w:rPr>
          <w:rFonts w:ascii="Times New Roman;Times;serif" w:hAnsi="Times New Roman;Times;serif"/>
          <w:b/>
          <w:sz w:val="20"/>
        </w:rPr>
        <w:t>Non- Employee Director</w:t>
      </w:r>
      <w:r>
        <w:rPr>
          <w:rFonts w:ascii="Times New Roman;Times;serif" w:hAnsi="Times New Roman;Times;serif"/>
          <w:sz w:val="20"/>
        </w:rPr>
        <w:t>” as defined in Rule 16b-3(b)(3) of the Exchange Act, or any successor definition adopted by the Board.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2.19          </w:t>
      </w:r>
      <w:r>
        <w:rPr>
          <w:rFonts w:ascii="Times New Roman;Times;serif" w:hAnsi="Times New Roman;Times;serif"/>
          <w:sz w:val="20"/>
        </w:rPr>
        <w:t>“</w:t>
      </w:r>
      <w:r>
        <w:rPr>
          <w:rFonts w:ascii="Times New Roman;Times;serif" w:hAnsi="Times New Roman;Times;serif"/>
          <w:b/>
          <w:sz w:val="20"/>
        </w:rPr>
        <w:t>Non-Qualified Share Option</w:t>
      </w:r>
      <w:r>
        <w:rPr>
          <w:rFonts w:ascii="Times New Roman;Times;serif" w:hAnsi="Times New Roman;Times;serif"/>
          <w:sz w:val="20"/>
        </w:rPr>
        <w:t>” means an Option that is not intended to be an Incentive Share Option.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2.20          </w:t>
      </w:r>
      <w:r>
        <w:rPr>
          <w:rFonts w:ascii="Times New Roman;Times;serif" w:hAnsi="Times New Roman;Times;serif"/>
          <w:sz w:val="20"/>
        </w:rPr>
        <w:t>“</w:t>
      </w:r>
      <w:r>
        <w:rPr>
          <w:rFonts w:ascii="Times New Roman;Times;serif" w:hAnsi="Times New Roman;Times;serif"/>
          <w:b/>
          <w:sz w:val="20"/>
        </w:rPr>
        <w:t>Notice of Grant</w:t>
      </w:r>
      <w:r>
        <w:rPr>
          <w:rFonts w:ascii="Times New Roman;Times;serif" w:hAnsi="Times New Roman;Times;serif"/>
          <w:sz w:val="20"/>
        </w:rPr>
        <w:t>” means the notice of grant to be sent from the Committee, on behalf of the Company, to the Participant evidencing an Award, including through electronic medium, which shall contain such terms and conditions with respect to an Award as the Committee may determine consistent with the Plan.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2.21          </w:t>
      </w:r>
      <w:r>
        <w:rPr>
          <w:rFonts w:ascii="Times New Roman;Times;serif" w:hAnsi="Times New Roman;Times;serif"/>
          <w:sz w:val="20"/>
        </w:rPr>
        <w:t>“</w:t>
      </w:r>
      <w:r>
        <w:rPr>
          <w:rFonts w:ascii="Times New Roman;Times;serif" w:hAnsi="Times New Roman;Times;serif"/>
          <w:b/>
          <w:sz w:val="20"/>
        </w:rPr>
        <w:t>Option</w:t>
      </w:r>
      <w:r>
        <w:rPr>
          <w:rFonts w:ascii="Times New Roman;Times;serif" w:hAnsi="Times New Roman;Times;serif"/>
          <w:sz w:val="20"/>
        </w:rPr>
        <w:t>” means a right granted to a Participant pursuant to </w:t>
      </w:r>
      <w:r>
        <w:rPr>
          <w:rFonts w:ascii="Times New Roman;Times;serif" w:hAnsi="Times New Roman;Times;serif"/>
          <w:b/>
          <w:sz w:val="20"/>
        </w:rPr>
        <w:t>Article 5 </w:t>
      </w:r>
      <w:r>
        <w:rPr>
          <w:rFonts w:ascii="Times New Roman;Times;serif" w:hAnsi="Times New Roman;Times;serif"/>
          <w:sz w:val="20"/>
        </w:rPr>
        <w:t>of the Plan to purchase a specified number of Shares at a specified price during specified time periods. An Option may be either an Incentive Share Option or a Non-Qualified Share Option.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2.22          </w:t>
      </w:r>
      <w:r>
        <w:rPr>
          <w:rFonts w:ascii="Times New Roman;Times;serif" w:hAnsi="Times New Roman;Times;serif"/>
          <w:sz w:val="20"/>
        </w:rPr>
        <w:t>“</w:t>
      </w:r>
      <w:r>
        <w:rPr>
          <w:rFonts w:ascii="Times New Roman;Times;serif" w:hAnsi="Times New Roman;Times;serif"/>
          <w:b/>
          <w:sz w:val="20"/>
        </w:rPr>
        <w:t>Participant</w:t>
      </w:r>
      <w:r>
        <w:rPr>
          <w:rFonts w:ascii="Times New Roman;Times;serif" w:hAnsi="Times New Roman;Times;serif"/>
          <w:sz w:val="20"/>
        </w:rPr>
        <w:t>” means a Person who has been granted an Award as determined by the Committee pursuant to the Plan, including but not limited to a Director, Employee, and Consultant, etc.</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2.23         </w:t>
      </w:r>
      <w:r>
        <w:rPr>
          <w:rFonts w:ascii="Times New Roman;Times;serif" w:hAnsi="Times New Roman;Times;serif"/>
          <w:sz w:val="20"/>
        </w:rPr>
        <w:t> “</w:t>
      </w:r>
      <w:r>
        <w:rPr>
          <w:rFonts w:ascii="Times New Roman;Times;serif" w:hAnsi="Times New Roman;Times;serif"/>
          <w:b/>
          <w:sz w:val="20"/>
        </w:rPr>
        <w:t>Parent</w:t>
      </w:r>
      <w:r>
        <w:rPr>
          <w:rFonts w:ascii="Times New Roman;Times;serif" w:hAnsi="Times New Roman;Times;serif"/>
          <w:sz w:val="20"/>
        </w:rPr>
        <w:t>” means a parent corporation under Section 424(e) of the Code.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2.24          </w:t>
      </w:r>
      <w:r>
        <w:rPr>
          <w:rFonts w:ascii="Times New Roman;Times;serif" w:hAnsi="Times New Roman;Times;serif"/>
          <w:sz w:val="20"/>
        </w:rPr>
        <w:t>“</w:t>
      </w:r>
      <w:r>
        <w:rPr>
          <w:rFonts w:ascii="Times New Roman;Times;serif" w:hAnsi="Times New Roman;Times;serif"/>
          <w:b/>
          <w:sz w:val="20"/>
        </w:rPr>
        <w:t>Person</w:t>
      </w:r>
      <w:r>
        <w:rPr>
          <w:rFonts w:ascii="Times New Roman;Times;serif" w:hAnsi="Times New Roman;Times;serif"/>
          <w:sz w:val="20"/>
        </w:rPr>
        <w:t>” means any individual, general partnership, limited partnership, limited liability partnership, limited liability company, corporation, joint venture, trust, business trust, cooperative or association and the heirs, executors, administrators, legal representatives, successors and assigns of such Person where the context so permits.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2.25</w:t>
      </w:r>
      <w:r>
        <w:rPr>
          <w:rFonts w:ascii="Times New Roman;Times;serif" w:hAnsi="Times New Roman;Times;serif"/>
          <w:sz w:val="20"/>
        </w:rPr>
        <w:t>          “</w:t>
      </w:r>
      <w:r>
        <w:rPr>
          <w:rFonts w:ascii="Times New Roman;Times;serif" w:hAnsi="Times New Roman;Times;serif"/>
          <w:b/>
          <w:sz w:val="20"/>
        </w:rPr>
        <w:t>Plan</w:t>
      </w:r>
      <w:r>
        <w:rPr>
          <w:rFonts w:ascii="Times New Roman;Times;serif" w:hAnsi="Times New Roman;Times;serif"/>
          <w:sz w:val="20"/>
        </w:rPr>
        <w:t>” means this 2023 Share Incentive Plan, as it may be amended from time to time.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2.26          </w:t>
      </w:r>
      <w:r>
        <w:rPr>
          <w:rFonts w:ascii="Times New Roman;Times;serif" w:hAnsi="Times New Roman;Times;serif"/>
          <w:sz w:val="20"/>
        </w:rPr>
        <w:t>“</w:t>
      </w:r>
      <w:r>
        <w:rPr>
          <w:rFonts w:ascii="Times New Roman;Times;serif" w:hAnsi="Times New Roman;Times;serif"/>
          <w:b/>
          <w:sz w:val="20"/>
        </w:rPr>
        <w:t>Related Entity</w:t>
      </w:r>
      <w:r>
        <w:rPr>
          <w:rFonts w:ascii="Times New Roman;Times;serif" w:hAnsi="Times New Roman;Times;serif"/>
          <w:sz w:val="20"/>
        </w:rPr>
        <w:t>” means any business, corporation, partnership, limited liability company or other entity in which the Company, a Parent or Subsidiary of the Company holds a substantial ownership interest, directly or indirectly, but which is not a Subsidiary and which the Committee designates as a Related Entity for purposes of the Plan.</w:t>
      </w:r>
    </w:p>
    <w:p>
      <w:pPr>
        <w:pStyle w:val="TextBody"/>
        <w:spacing w:before="0" w:after="0"/>
        <w:ind w:left="0" w:right="0" w:hanging="0"/>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16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2.27          </w:t>
      </w:r>
      <w:r>
        <w:rPr>
          <w:rFonts w:ascii="Times New Roman;Times;serif" w:hAnsi="Times New Roman;Times;serif"/>
          <w:sz w:val="20"/>
        </w:rPr>
        <w:t>“</w:t>
      </w:r>
      <w:r>
        <w:rPr>
          <w:rFonts w:ascii="Times New Roman;Times;serif" w:hAnsi="Times New Roman;Times;serif"/>
          <w:b/>
          <w:sz w:val="20"/>
        </w:rPr>
        <w:t>Restricted Share</w:t>
      </w:r>
      <w:r>
        <w:rPr>
          <w:rFonts w:ascii="Times New Roman;Times;serif" w:hAnsi="Times New Roman;Times;serif"/>
          <w:sz w:val="20"/>
        </w:rPr>
        <w:t>” means a Share awarded to a Participant pursuant to </w:t>
      </w:r>
      <w:r>
        <w:rPr>
          <w:rFonts w:ascii="Times New Roman;Times;serif" w:hAnsi="Times New Roman;Times;serif"/>
          <w:b/>
          <w:sz w:val="20"/>
        </w:rPr>
        <w:t>Article 6 </w:t>
      </w:r>
      <w:r>
        <w:rPr>
          <w:rFonts w:ascii="Times New Roman;Times;serif" w:hAnsi="Times New Roman;Times;serif"/>
          <w:sz w:val="20"/>
        </w:rPr>
        <w:t>that is subject to certain restrictions on transfer, rights of first refusal, repurchase provisions, forfeiture provisions and other terms and conditions established by the Committee and may be subject to risk of forfeiture.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2.28          </w:t>
      </w:r>
      <w:r>
        <w:rPr>
          <w:rFonts w:ascii="Times New Roman;Times;serif" w:hAnsi="Times New Roman;Times;serif"/>
          <w:sz w:val="20"/>
        </w:rPr>
        <w:t>“</w:t>
      </w:r>
      <w:r>
        <w:rPr>
          <w:rFonts w:ascii="Times New Roman;Times;serif" w:hAnsi="Times New Roman;Times;serif"/>
          <w:b/>
          <w:sz w:val="20"/>
        </w:rPr>
        <w:t>Restricted Share Unit</w:t>
      </w:r>
      <w:r>
        <w:rPr>
          <w:rFonts w:ascii="Times New Roman;Times;serif" w:hAnsi="Times New Roman;Times;serif"/>
          <w:sz w:val="20"/>
        </w:rPr>
        <w:t>” means the right granted to a Participant pursuant to </w:t>
      </w:r>
      <w:r>
        <w:rPr>
          <w:rFonts w:ascii="Times New Roman;Times;serif" w:hAnsi="Times New Roman;Times;serif"/>
          <w:b/>
          <w:sz w:val="20"/>
        </w:rPr>
        <w:t>Article 7 </w:t>
      </w:r>
      <w:r>
        <w:rPr>
          <w:rFonts w:ascii="Times New Roman;Times;serif" w:hAnsi="Times New Roman;Times;serif"/>
          <w:sz w:val="20"/>
        </w:rPr>
        <w:t>to receive a Share at a future date.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2.29         </w:t>
      </w:r>
      <w:r>
        <w:rPr>
          <w:rFonts w:ascii="Times New Roman;Times;serif" w:hAnsi="Times New Roman;Times;serif"/>
          <w:sz w:val="20"/>
        </w:rPr>
        <w:t> “</w:t>
      </w:r>
      <w:r>
        <w:rPr>
          <w:rFonts w:ascii="Times New Roman;Times;serif" w:hAnsi="Times New Roman;Times;serif"/>
          <w:b/>
          <w:sz w:val="20"/>
        </w:rPr>
        <w:t>Securities Act</w:t>
      </w:r>
      <w:r>
        <w:rPr>
          <w:rFonts w:ascii="Times New Roman;Times;serif" w:hAnsi="Times New Roman;Times;serif"/>
          <w:sz w:val="20"/>
        </w:rPr>
        <w:t>” means the Securities Act of 1933 of the United States, as amended.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2.30          </w:t>
      </w:r>
      <w:r>
        <w:rPr>
          <w:rFonts w:ascii="Times New Roman;Times;serif" w:hAnsi="Times New Roman;Times;serif"/>
          <w:sz w:val="20"/>
        </w:rPr>
        <w:t>“</w:t>
      </w:r>
      <w:r>
        <w:rPr>
          <w:rFonts w:ascii="Times New Roman;Times;serif" w:hAnsi="Times New Roman;Times;serif"/>
          <w:b/>
          <w:sz w:val="20"/>
        </w:rPr>
        <w:t>Service Recipient</w:t>
      </w:r>
      <w:r>
        <w:rPr>
          <w:rFonts w:ascii="Times New Roman;Times;serif" w:hAnsi="Times New Roman;Times;serif"/>
          <w:sz w:val="20"/>
        </w:rPr>
        <w:t>” means the Company, any Parent, Subsidiary or Related Entity of the Company, to which a Participant provides services as an Employee, a Consultant or a Director.</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2.31          </w:t>
      </w:r>
      <w:r>
        <w:rPr>
          <w:rFonts w:ascii="Times New Roman;Times;serif" w:hAnsi="Times New Roman;Times;serif"/>
          <w:sz w:val="20"/>
        </w:rPr>
        <w:t>“</w:t>
      </w:r>
      <w:r>
        <w:rPr>
          <w:rFonts w:ascii="Times New Roman;Times;serif" w:hAnsi="Times New Roman;Times;serif"/>
          <w:b/>
          <w:sz w:val="20"/>
        </w:rPr>
        <w:t>Share</w:t>
      </w:r>
      <w:r>
        <w:rPr>
          <w:rFonts w:ascii="Times New Roman;Times;serif" w:hAnsi="Times New Roman;Times;serif"/>
          <w:sz w:val="20"/>
        </w:rPr>
        <w:t>” means ordinary shares of the Company, and such other securities of the Company that may be substituted for Shares pursuant to </w:t>
      </w:r>
      <w:r>
        <w:rPr>
          <w:rFonts w:ascii="Times New Roman;Times;serif" w:hAnsi="Times New Roman;Times;serif"/>
          <w:b/>
          <w:sz w:val="20"/>
        </w:rPr>
        <w:t>Article 9</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2.32          </w:t>
      </w:r>
      <w:r>
        <w:rPr>
          <w:rFonts w:ascii="Times New Roman;Times;serif" w:hAnsi="Times New Roman;Times;serif"/>
          <w:sz w:val="20"/>
        </w:rPr>
        <w:t>“</w:t>
      </w:r>
      <w:r>
        <w:rPr>
          <w:rFonts w:ascii="Times New Roman;Times;serif" w:hAnsi="Times New Roman;Times;serif"/>
          <w:b/>
          <w:sz w:val="20"/>
        </w:rPr>
        <w:t>Subsidiary</w:t>
      </w:r>
      <w:r>
        <w:rPr>
          <w:rFonts w:ascii="Times New Roman;Times;serif" w:hAnsi="Times New Roman;Times;serif"/>
          <w:sz w:val="20"/>
        </w:rPr>
        <w:t>” means any corporation or other entity of which a majority of the outstanding voting shares or voting power is beneficially owned directly or indirectly by the Company.</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2.33          </w:t>
      </w:r>
      <w:r>
        <w:rPr>
          <w:rFonts w:ascii="Times New Roman;Times;serif" w:hAnsi="Times New Roman;Times;serif"/>
          <w:sz w:val="20"/>
        </w:rPr>
        <w:t>“</w:t>
      </w:r>
      <w:r>
        <w:rPr>
          <w:rFonts w:ascii="Times New Roman;Times;serif" w:hAnsi="Times New Roman;Times;serif"/>
          <w:b/>
          <w:sz w:val="20"/>
        </w:rPr>
        <w:t>Trading Date</w:t>
      </w:r>
      <w:r>
        <w:rPr>
          <w:rFonts w:ascii="Times New Roman;Times;serif" w:hAnsi="Times New Roman;Times;serif"/>
          <w:sz w:val="20"/>
        </w:rPr>
        <w:t>” means the closing of the first sale to the general public of the Shares pursuant to a registration statement filed with and declared effective by the U.S. Securities and Exchange Commission under the Securities Act.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3</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 SUBJECT TO THE PLAN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3.1           </w:t>
      </w:r>
      <w:r>
        <w:rPr>
          <w:rFonts w:ascii="Times New Roman;Times;serif" w:hAnsi="Times New Roman;Times;serif"/>
          <w:sz w:val="20"/>
        </w:rPr>
        <w:t> </w:t>
      </w:r>
      <w:r>
        <w:rPr>
          <w:rFonts w:ascii="Times New Roman;Times;serif" w:hAnsi="Times New Roman;Times;serif"/>
          <w:b/>
          <w:sz w:val="20"/>
        </w:rPr>
        <w:t>Number of Shares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Subject to the provisions of </w:t>
      </w:r>
      <w:r>
        <w:rPr>
          <w:rFonts w:ascii="Times New Roman;Times;serif" w:hAnsi="Times New Roman;Times;serif"/>
          <w:b/>
          <w:sz w:val="20"/>
        </w:rPr>
        <w:t>Article 9 </w:t>
      </w:r>
      <w:r>
        <w:rPr>
          <w:rFonts w:ascii="Times New Roman;Times;serif" w:hAnsi="Times New Roman;Times;serif"/>
          <w:sz w:val="20"/>
        </w:rPr>
        <w:t>and </w:t>
      </w:r>
      <w:r>
        <w:rPr>
          <w:rFonts w:ascii="Times New Roman;Times;serif" w:hAnsi="Times New Roman;Times;serif"/>
          <w:b/>
          <w:sz w:val="20"/>
        </w:rPr>
        <w:t>Section 3.1(b)</w:t>
      </w:r>
      <w:r>
        <w:rPr>
          <w:rFonts w:ascii="Times New Roman;Times;serif" w:hAnsi="Times New Roman;Times;serif"/>
          <w:sz w:val="20"/>
        </w:rPr>
        <w:t>, the maximum aggregate number of Shares which may be issued pursuant to all Awards (including Incentive Share Options) shall initially be 21,877,912 ordinary shares of the Company (the “</w:t>
      </w:r>
      <w:r>
        <w:rPr>
          <w:rFonts w:ascii="Times New Roman;Times;serif" w:hAnsi="Times New Roman;Times;serif"/>
          <w:b/>
          <w:sz w:val="20"/>
        </w:rPr>
        <w:t>Share Limit</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w:t>
      </w:r>
      <w:r>
        <w:rPr>
          <w:rFonts w:ascii="Times New Roman;Times;serif" w:hAnsi="Times New Roman;Times;serif"/>
          <w:sz w:val="20"/>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w:t>
      </w:r>
      <w:r>
        <w:rPr>
          <w:rFonts w:ascii="Times New Roman;Times;serif" w:hAnsi="Times New Roman;Times;serif"/>
          <w:b/>
          <w:sz w:val="20"/>
        </w:rPr>
        <w:t>Section 3.1(a)</w:t>
      </w:r>
      <w:r>
        <w:rPr>
          <w:rFonts w:ascii="Times New Roman;Times;serif" w:hAnsi="Times New Roman;Times;serif"/>
          <w:sz w:val="20"/>
        </w:rPr>
        <w:t>. If any Awards are forfeited by the Participant or repurchased by the Company, the Shares underlying such Awards may again be optioned, granted or awarded hereunder, subject to the limitations of </w:t>
      </w:r>
      <w:r>
        <w:rPr>
          <w:rFonts w:ascii="Times New Roman;Times;serif" w:hAnsi="Times New Roman;Times;serif"/>
          <w:b/>
          <w:sz w:val="20"/>
        </w:rPr>
        <w:t>Section 3.1(a)</w:t>
      </w:r>
      <w:r>
        <w:rPr>
          <w:rFonts w:ascii="Times New Roman;Times;serif" w:hAnsi="Times New Roman;Times;serif"/>
          <w:sz w:val="20"/>
        </w:rPr>
        <w:t>. Notwithstanding the provisions of this </w:t>
      </w:r>
      <w:r>
        <w:rPr>
          <w:rFonts w:ascii="Times New Roman;Times;serif" w:hAnsi="Times New Roman;Times;serif"/>
          <w:b/>
          <w:sz w:val="20"/>
        </w:rPr>
        <w:t>Section 3.1(b)</w:t>
      </w:r>
      <w:r>
        <w:rPr>
          <w:rFonts w:ascii="Times New Roman;Times;serif" w:hAnsi="Times New Roman;Times;serif"/>
          <w:sz w:val="20"/>
        </w:rPr>
        <w:t>, no Shares may again be optioned, granted, or awarded if such action would cause an Incentive Share Option to fail to qualify as an Incentive Share Option under Section 422 of the Code.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3.2            Shares Distributed</w:t>
      </w:r>
      <w:r>
        <w:rPr>
          <w:rFonts w:ascii="Times New Roman;Times;serif" w:hAnsi="Times New Roman;Times;serif"/>
          <w:sz w:val="20"/>
        </w:rPr>
        <w:t>. Any Shares distributed pursuant to an Award may consist, in whole or in part, of authorized and unissued Shares, treasury shares (subject to Applicable Laws) or Shares purchased on the open market. Additionally, if applicable,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Share Limit of Section 3.1 shall be adjusted to reflect the distribution of American Depository Shares in lieu of Shares.</w:t>
      </w:r>
    </w:p>
    <w:p>
      <w:pPr>
        <w:pStyle w:val="TextBody"/>
        <w:spacing w:before="0" w:after="0"/>
        <w:ind w:left="0" w:right="0" w:hanging="0"/>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16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4</w:t>
      </w:r>
    </w:p>
    <w:p>
      <w:pPr>
        <w:pStyle w:val="TextBody"/>
        <w:spacing w:before="0" w:after="0"/>
        <w:ind w:left="3129" w:right="0" w:firstLine="108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ELIGIBILITY AND PARTICIPATION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4.1            Eligibility</w:t>
      </w:r>
      <w:r>
        <w:rPr>
          <w:rFonts w:ascii="Times New Roman;Times;serif" w:hAnsi="Times New Roman;Times;serif"/>
          <w:sz w:val="20"/>
        </w:rPr>
        <w:t>. Persons eligible to participate in this Plan include Persons recognized by the Committee, e.g., Directors, Employees and Consultants, as determined by the Committee.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4.2            Participation</w:t>
      </w:r>
      <w:r>
        <w:rPr>
          <w:rFonts w:ascii="Times New Roman;Times;serif" w:hAnsi="Times New Roman;Times;serif"/>
          <w:sz w:val="20"/>
        </w:rPr>
        <w:t>. Subject to the provisions of the Plan, the Committee may, from time to time, select from among all eligible individuals, those to whom Awards shall be granted and determine the nature and amount of each Award. No individual shall have any right to be granted an Award pursuant to this Plan, unless otherwise determined by the Committee in accordance with the Plan.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4.3            Jurisdictions</w:t>
      </w:r>
      <w:r>
        <w:rPr>
          <w:rFonts w:ascii="Times New Roman;Times;serif" w:hAnsi="Times New Roman;Times;serif"/>
          <w:sz w:val="20"/>
        </w:rPr>
        <w:t>.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Times;serif" w:hAnsi="Times New Roman;Times;serif"/>
          <w:i/>
          <w:sz w:val="20"/>
        </w:rPr>
        <w:t>provided, however</w:t>
      </w:r>
      <w:r>
        <w:rPr>
          <w:rFonts w:ascii="Times New Roman;Times;serif" w:hAnsi="Times New Roman;Times;serif"/>
          <w:sz w:val="20"/>
        </w:rPr>
        <w:t>, that no such supplements, amendments, restatements, or alternative versions shall increase the Share Limit contained in </w:t>
      </w:r>
      <w:r>
        <w:rPr>
          <w:rFonts w:ascii="Times New Roman;Times;serif" w:hAnsi="Times New Roman;Times;serif"/>
          <w:b/>
          <w:sz w:val="20"/>
        </w:rPr>
        <w:t>Section 3.1 </w:t>
      </w:r>
      <w:r>
        <w:rPr>
          <w:rFonts w:ascii="Times New Roman;Times;serif" w:hAnsi="Times New Roman;Times;serif"/>
          <w:sz w:val="20"/>
        </w:rPr>
        <w:t>of the Plan. Notwithstanding the foregoing, the Committee may not take any actions hereunder, and no Awards shall be granted, that would violate any Applicable Laws.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5</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5.1            General</w:t>
      </w:r>
      <w:r>
        <w:rPr>
          <w:rFonts w:ascii="Times New Roman;Times;serif" w:hAnsi="Times New Roman;Times;serif"/>
          <w:sz w:val="20"/>
        </w:rPr>
        <w:t>. The Committee is authorized to grant Options to Participants on the following terms and conditions: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Exercise Price</w:t>
      </w:r>
      <w:r>
        <w:rPr>
          <w:rFonts w:ascii="Times New Roman;Times;serif" w:hAnsi="Times New Roman;Times;serif"/>
          <w:sz w:val="20"/>
        </w:rPr>
        <w:t>. The exercise price per Share subject to an Option shall be determined by the Committee and set forth in the Notice of Grant which may be a fixed or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may be effective without the approval of the Company’s shareholders or the approval of the affected Participants.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Time and Conditions of Exercise</w:t>
      </w:r>
      <w:r>
        <w:rPr>
          <w:rFonts w:ascii="Times New Roman;Times;serif" w:hAnsi="Times New Roman;Times;serif"/>
          <w:sz w:val="20"/>
        </w:rPr>
        <w:t>. The Committee may determine the time or times at which an Option may be exercised in whole or in part, including exercise prior to vesting; </w:t>
      </w:r>
      <w:r>
        <w:rPr>
          <w:rFonts w:ascii="Times New Roman;Times;serif" w:hAnsi="Times New Roman;Times;serif"/>
          <w:i/>
          <w:sz w:val="20"/>
        </w:rPr>
        <w:t>provided </w:t>
      </w:r>
      <w:r>
        <w:rPr>
          <w:rFonts w:ascii="Times New Roman;Times;serif" w:hAnsi="Times New Roman;Times;serif"/>
          <w:sz w:val="20"/>
        </w:rPr>
        <w:t>that the term of any Option granted under the Plan shall not exceed ten years, except as provided in </w:t>
      </w:r>
      <w:r>
        <w:rPr>
          <w:rFonts w:ascii="Times New Roman;Times;serif" w:hAnsi="Times New Roman;Times;serif"/>
          <w:b/>
          <w:sz w:val="20"/>
        </w:rPr>
        <w:t>Section 12.1</w:t>
      </w:r>
      <w:r>
        <w:rPr>
          <w:rFonts w:ascii="Times New Roman;Times;serif" w:hAnsi="Times New Roman;Times;serif"/>
          <w:sz w:val="20"/>
        </w:rPr>
        <w:t>. The Committee may also determine any conditions, if any, that must be satisfied before all or part of an Option may be exercised.</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(c)            Payment</w:t>
      </w:r>
      <w:r>
        <w:rPr>
          <w:rFonts w:ascii="Times New Roman;Times;serif" w:hAnsi="Times New Roman;Times;serif"/>
          <w:sz w:val="20"/>
        </w:rPr>
        <w:t>. The Committee may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Times;serif" w:hAnsi="Times New Roman;Times;serif"/>
          <w:i/>
          <w:sz w:val="20"/>
        </w:rPr>
        <w:t>provided </w:t>
      </w:r>
      <w:r>
        <w:rPr>
          <w:rFonts w:ascii="Times New Roman;Times;serif" w:hAnsi="Times New Roman;Times;serif"/>
          <w:sz w:val="20"/>
        </w:rPr>
        <w:t>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(d)            Evidence of Grant</w:t>
      </w:r>
      <w:r>
        <w:rPr>
          <w:rFonts w:ascii="Times New Roman;Times;serif" w:hAnsi="Times New Roman;Times;serif"/>
          <w:sz w:val="20"/>
        </w:rPr>
        <w:t>. All Options shall be evidenced by a Notice of Grant sent from the Committee on behalf of the Company to the Participant. The Notice of Grant shall include such additional provisions as may be specified by the Committee.</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(e)            Effects of Termination of Employment or Service on Options</w:t>
      </w:r>
      <w:r>
        <w:rPr>
          <w:rFonts w:ascii="Times New Roman;Times;serif" w:hAnsi="Times New Roman;Times;serif"/>
          <w:sz w:val="20"/>
        </w:rPr>
        <w:t>. Termination of employment or service shall have the following effects on Options granted to the Participants:</w:t>
      </w:r>
    </w:p>
    <w:p>
      <w:pPr>
        <w:pStyle w:val="TextBody"/>
        <w:spacing w:before="0" w:after="0"/>
        <w:ind w:left="0" w:right="0" w:hanging="0"/>
        <w:rPr/>
      </w:pPr>
      <w:r>
        <w:rPr/>
        <w:t>​</w:t>
      </w:r>
    </w:p>
    <w:p>
      <w:pPr>
        <w:pStyle w:val="TextBody"/>
        <w:spacing w:before="0" w:after="0"/>
        <w:ind w:left="0" w:right="0" w:firstLine="2880"/>
        <w:jc w:val="both"/>
        <w:rPr>
          <w:rFonts w:ascii="Times New Roman;Times;serif" w:hAnsi="Times New Roman;Times;serif"/>
          <w:sz w:val="20"/>
        </w:rPr>
      </w:pPr>
      <w:r>
        <w:rPr>
          <w:rFonts w:ascii="Times New Roman;Times;serif" w:hAnsi="Times New Roman;Times;serif"/>
          <w:b/>
          <w:sz w:val="20"/>
        </w:rPr>
        <w:t>(i)            Dismissal for Cause</w:t>
      </w:r>
      <w:r>
        <w:rPr>
          <w:rFonts w:ascii="Times New Roman;Times;serif" w:hAnsi="Times New Roman;Times;serif"/>
          <w:sz w:val="20"/>
        </w:rPr>
        <w:t>. Unless otherwise provided in the Notice of Grant, if a Participant’s employment by or service to the Service Recipient is terminated by the Service Recipient for Cause, the Participant’s Options will terminate upon such termination, whether or not the Option is then vested and/or exercisable;</w:t>
      </w:r>
    </w:p>
    <w:p>
      <w:pPr>
        <w:pStyle w:val="TextBody"/>
        <w:spacing w:before="0" w:after="0"/>
        <w:ind w:left="0" w:right="0" w:hanging="0"/>
        <w:rPr/>
      </w:pPr>
      <w:r>
        <w:rPr/>
        <w:t>​</w:t>
      </w:r>
    </w:p>
    <w:p>
      <w:pPr>
        <w:pStyle w:val="TextBody"/>
        <w:spacing w:before="0" w:after="0"/>
        <w:ind w:left="0" w:right="0" w:firstLine="2880"/>
        <w:jc w:val="both"/>
        <w:rPr>
          <w:rFonts w:ascii="Times New Roman;Times;serif" w:hAnsi="Times New Roman;Times;serif"/>
          <w:sz w:val="20"/>
        </w:rPr>
      </w:pPr>
      <w:r>
        <w:rPr>
          <w:rFonts w:ascii="Times New Roman;Times;serif" w:hAnsi="Times New Roman;Times;serif"/>
          <w:b/>
          <w:sz w:val="20"/>
        </w:rPr>
        <w:t>(ii)           Death or Disability</w:t>
      </w:r>
      <w:r>
        <w:rPr>
          <w:rFonts w:ascii="Times New Roman;Times;serif" w:hAnsi="Times New Roman;Times;serif"/>
          <w:sz w:val="20"/>
        </w:rPr>
        <w:t>. Unless otherwise provided in the Notice of Grant, if a Participant’s employment by or service to the Service Recipient terminates as a result of the Participant’s death or Disability:</w:t>
      </w:r>
    </w:p>
    <w:p>
      <w:pPr>
        <w:pStyle w:val="TextBody"/>
        <w:spacing w:before="0" w:after="0"/>
        <w:ind w:left="0" w:right="0" w:hanging="0"/>
        <w:rPr/>
      </w:pPr>
      <w:r>
        <w:rPr/>
        <w:t>​</w:t>
      </w:r>
    </w:p>
    <w:p>
      <w:pPr>
        <w:pStyle w:val="TextBody"/>
        <w:spacing w:before="0" w:after="0"/>
        <w:ind w:left="0" w:right="0" w:firstLine="3600"/>
        <w:jc w:val="both"/>
        <w:rPr>
          <w:rFonts w:ascii="Times New Roman;Times;serif" w:hAnsi="Times New Roman;Times;serif"/>
          <w:sz w:val="20"/>
        </w:rPr>
      </w:pPr>
      <w:r>
        <w:rPr>
          <w:rFonts w:ascii="Times New Roman;Times;serif" w:hAnsi="Times New Roman;Times;serif"/>
          <w:b/>
          <w:sz w:val="20"/>
        </w:rPr>
        <w:t>(1)            </w:t>
      </w:r>
      <w:r>
        <w:rPr>
          <w:rFonts w:ascii="Times New Roman;Times;serif" w:hAnsi="Times New Roman;Times;serif"/>
          <w:sz w:val="20"/>
        </w:rPr>
        <w:t>the Participant (or his or her legal representative or beneficiary, in the case of the Participant’s Disability or death, respectively), will have the right to exercise the Participant’s Options (or portion thereof) until the tenth anniversary of the grant date to the extent that such Options were vested and exercisable on the date of the Participant’s termination of Employment on account of death or Disability;</w:t>
      </w:r>
    </w:p>
    <w:p>
      <w:pPr>
        <w:pStyle w:val="TextBody"/>
        <w:spacing w:before="0" w:after="0"/>
        <w:ind w:left="0" w:right="0" w:hanging="0"/>
        <w:rPr/>
      </w:pPr>
      <w:r>
        <w:rPr/>
        <w:t>​</w:t>
      </w:r>
    </w:p>
    <w:p>
      <w:pPr>
        <w:pStyle w:val="TextBody"/>
        <w:spacing w:before="0" w:after="0"/>
        <w:ind w:left="0" w:right="0" w:firstLine="3600"/>
        <w:jc w:val="both"/>
        <w:rPr>
          <w:rFonts w:ascii="Times New Roman;Times;serif" w:hAnsi="Times New Roman;Times;serif"/>
          <w:sz w:val="20"/>
        </w:rPr>
      </w:pPr>
      <w:r>
        <w:rPr>
          <w:rFonts w:ascii="Times New Roman;Times;serif" w:hAnsi="Times New Roman;Times;serif"/>
          <w:b/>
          <w:sz w:val="20"/>
        </w:rPr>
        <w:t>(2)            </w:t>
      </w:r>
      <w:r>
        <w:rPr>
          <w:rFonts w:ascii="Times New Roman;Times;serif" w:hAnsi="Times New Roman;Times;serif"/>
          <w:sz w:val="20"/>
        </w:rPr>
        <w:t>the Options, to the extent not vested and exercisable on the date of the Participant’s termination of Employment or service, shall immediately terminate for nil consideration upon the Participant’s termination of Employment or service on account of death or Disability; and</w:t>
      </w:r>
    </w:p>
    <w:p>
      <w:pPr>
        <w:pStyle w:val="TextBody"/>
        <w:spacing w:before="0" w:after="0"/>
        <w:ind w:left="0" w:right="0" w:hanging="0"/>
        <w:rPr/>
      </w:pPr>
      <w:r>
        <w:rPr/>
        <w:t>​</w:t>
      </w:r>
    </w:p>
    <w:p>
      <w:pPr>
        <w:pStyle w:val="TextBody"/>
        <w:spacing w:before="0" w:after="0"/>
        <w:ind w:left="0" w:right="0" w:firstLine="3600"/>
        <w:jc w:val="both"/>
        <w:rPr>
          <w:rFonts w:ascii="Times New Roman;Times;serif" w:hAnsi="Times New Roman;Times;serif"/>
          <w:sz w:val="20"/>
        </w:rPr>
      </w:pPr>
      <w:r>
        <w:rPr>
          <w:rFonts w:ascii="Times New Roman;Times;serif" w:hAnsi="Times New Roman;Times;serif"/>
          <w:b/>
          <w:sz w:val="20"/>
        </w:rPr>
        <w:t>(3)            </w:t>
      </w:r>
      <w:r>
        <w:rPr>
          <w:rFonts w:ascii="Times New Roman;Times;serif" w:hAnsi="Times New Roman;Times;serif"/>
          <w:sz w:val="20"/>
        </w:rPr>
        <w:t>the Options, to the extent exercisable on the date of the Participant’s termination of Employment on account of death or Disability and not exercised prior to the tenth anniversary of the grant date, shall terminate at the close of business on the tenth anniversary of the grant date.</w:t>
      </w:r>
    </w:p>
    <w:p>
      <w:pPr>
        <w:pStyle w:val="TextBody"/>
        <w:spacing w:before="0" w:after="0"/>
        <w:ind w:left="0" w:right="0" w:hanging="0"/>
        <w:rPr/>
      </w:pPr>
      <w:r>
        <w:rPr/>
        <w:t>​</w:t>
      </w:r>
    </w:p>
    <w:p>
      <w:pPr>
        <w:pStyle w:val="TextBody"/>
        <w:spacing w:before="0" w:after="0"/>
        <w:ind w:left="0" w:right="0" w:firstLine="2880"/>
        <w:jc w:val="both"/>
        <w:rPr>
          <w:rFonts w:ascii="Times New Roman;Times;serif" w:hAnsi="Times New Roman;Times;serif"/>
          <w:sz w:val="20"/>
        </w:rPr>
      </w:pPr>
      <w:r>
        <w:rPr>
          <w:rFonts w:ascii="Times New Roman;Times;serif" w:hAnsi="Times New Roman;Times;serif"/>
          <w:b/>
          <w:sz w:val="20"/>
        </w:rPr>
        <w:t>(iii)         Other Terminations of Employment or Service</w:t>
      </w:r>
      <w:r>
        <w:rPr>
          <w:rFonts w:ascii="Times New Roman;Times;serif" w:hAnsi="Times New Roman;Times;serif"/>
          <w:sz w:val="20"/>
        </w:rPr>
        <w:t>. Unless otherwise provided in the Notice of Grant, if a Participant’s employment by or service to the Service Recipient terminates for any reason other than a termination by the Service Recipient for Cause or because of the Participant’s death or Disability:</w:t>
      </w:r>
    </w:p>
    <w:p>
      <w:pPr>
        <w:pStyle w:val="TextBody"/>
        <w:spacing w:before="0" w:after="0"/>
        <w:ind w:left="0" w:right="0" w:hanging="0"/>
        <w:rPr/>
      </w:pPr>
      <w:r>
        <w:rPr/>
        <w:t>​</w:t>
      </w:r>
    </w:p>
    <w:p>
      <w:pPr>
        <w:pStyle w:val="TextBody"/>
        <w:spacing w:before="0" w:after="0"/>
        <w:ind w:left="0" w:right="0" w:firstLine="3600"/>
        <w:jc w:val="both"/>
        <w:rPr>
          <w:rFonts w:ascii="Times New Roman;Times;serif" w:hAnsi="Times New Roman;Times;serif"/>
          <w:sz w:val="20"/>
        </w:rPr>
      </w:pPr>
      <w:r>
        <w:rPr>
          <w:rFonts w:ascii="Times New Roman;Times;serif" w:hAnsi="Times New Roman;Times;serif"/>
          <w:b/>
          <w:sz w:val="20"/>
        </w:rPr>
        <w:t>(1)            </w:t>
      </w:r>
      <w:r>
        <w:rPr>
          <w:rFonts w:ascii="Times New Roman;Times;serif" w:hAnsi="Times New Roman;Times;serif"/>
          <w:sz w:val="20"/>
        </w:rPr>
        <w:t>the Participant will have the right to exercise his or her Options (or portion thereof) until the tenth anniversary of the grant date to the extent that such Options were vested and exercisable on the date of the Participant’s termination of Employment or service;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rPr/>
      </w:pPr>
      <w:r>
        <w:rPr/>
        <w:t>​</w:t>
      </w:r>
    </w:p>
    <w:p>
      <w:pPr>
        <w:pStyle w:val="TextBody"/>
        <w:spacing w:before="0" w:after="0"/>
        <w:ind w:left="0" w:right="0" w:firstLine="3600"/>
        <w:jc w:val="both"/>
        <w:rPr>
          <w:rFonts w:ascii="Times New Roman;Times;serif" w:hAnsi="Times New Roman;Times;serif"/>
          <w:sz w:val="20"/>
        </w:rPr>
      </w:pPr>
      <w:r>
        <w:rPr>
          <w:rFonts w:ascii="Times New Roman;Times;serif" w:hAnsi="Times New Roman;Times;serif"/>
          <w:b/>
          <w:sz w:val="20"/>
        </w:rPr>
        <w:t>(2)            </w:t>
      </w:r>
      <w:r>
        <w:rPr>
          <w:rFonts w:ascii="Times New Roman;Times;serif" w:hAnsi="Times New Roman;Times;serif"/>
          <w:sz w:val="20"/>
        </w:rPr>
        <w:t>the Options, to the extent not vested and exercisable on the date of the Participant’s termination of Employment or service, shall terminate upon the Participant’s termination of Employment or service; and</w:t>
      </w:r>
    </w:p>
    <w:p>
      <w:pPr>
        <w:pStyle w:val="TextBody"/>
        <w:spacing w:before="0" w:after="160"/>
        <w:ind w:left="0" w:right="0" w:hanging="0"/>
        <w:rPr/>
      </w:pPr>
      <w:r>
        <w:rPr/>
        <w:t>​</w:t>
      </w:r>
    </w:p>
    <w:p>
      <w:pPr>
        <w:pStyle w:val="TextBody"/>
        <w:spacing w:before="0" w:after="0"/>
        <w:ind w:left="0" w:right="0" w:firstLine="3600"/>
        <w:jc w:val="both"/>
        <w:rPr>
          <w:rFonts w:ascii="Times New Roman;Times;serif" w:hAnsi="Times New Roman;Times;serif"/>
          <w:sz w:val="20"/>
        </w:rPr>
      </w:pPr>
      <w:r>
        <w:rPr>
          <w:rFonts w:ascii="Times New Roman;Times;serif" w:hAnsi="Times New Roman;Times;serif"/>
          <w:b/>
          <w:sz w:val="20"/>
        </w:rPr>
        <w:t>(3)            </w:t>
      </w:r>
      <w:r>
        <w:rPr>
          <w:rFonts w:ascii="Times New Roman;Times;serif" w:hAnsi="Times New Roman;Times;serif"/>
          <w:sz w:val="20"/>
        </w:rPr>
        <w:t>the Options, to the extent exercisable on the date of the Participant’s termination of Employment or service and not exercised prior to the tenth anniversary of the grant date, shall terminate at the close of business on the tenth anniversary of the grant date.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5.2            Incentive Share Options</w:t>
      </w:r>
      <w:r>
        <w:rPr>
          <w:rFonts w:ascii="Times New Roman;Times;serif" w:hAnsi="Times New Roman;Times;serif"/>
          <w:sz w:val="20"/>
        </w:rPr>
        <w:t>. Incentive Share Options may be granted to Employees of the Company, a Parent or Subsidiary of the Company. Incentive Share Options may not be granted to Employees of a Related Entity or to Independent Directors or Consultants. The terms of any Incentive Share Options granted pursuant to the Plan, in addition to the requirements of </w:t>
      </w:r>
      <w:r>
        <w:rPr>
          <w:rFonts w:ascii="Times New Roman;Times;serif" w:hAnsi="Times New Roman;Times;serif"/>
          <w:b/>
          <w:sz w:val="20"/>
        </w:rPr>
        <w:t>Section 5.1</w:t>
      </w:r>
      <w:r>
        <w:rPr>
          <w:rFonts w:ascii="Times New Roman;Times;serif" w:hAnsi="Times New Roman;Times;serif"/>
          <w:sz w:val="20"/>
        </w:rPr>
        <w:t>, must comply with the following additional provisions of this </w:t>
      </w:r>
      <w:r>
        <w:rPr>
          <w:rFonts w:ascii="Times New Roman;Times;serif" w:hAnsi="Times New Roman;Times;serif"/>
          <w:b/>
          <w:sz w:val="20"/>
        </w:rPr>
        <w:t>Section 5.2</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Individual Dollar Limitation</w:t>
      </w:r>
      <w:r>
        <w:rPr>
          <w:rFonts w:ascii="Times New Roman;Times;serif" w:hAnsi="Times New Roman;Times;serif"/>
          <w:sz w:val="20"/>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Exercise Price</w:t>
      </w:r>
      <w:r>
        <w:rPr>
          <w:rFonts w:ascii="Times New Roman;Times;serif" w:hAnsi="Times New Roman;Times;serif"/>
          <w:sz w:val="20"/>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may not be less than 110% of Fair Market Value on the date of grant and such Option may not be exercisable for more than five years from the date of grant.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(c)            Transfer Restriction</w:t>
      </w:r>
      <w:r>
        <w:rPr>
          <w:rFonts w:ascii="Times New Roman;Times;serif" w:hAnsi="Times New Roman;Times;serif"/>
          <w:sz w:val="20"/>
        </w:rPr>
        <w:t>. The Participant shall give the Committee prompt notice of any disposition of Shares acquired by exercise of an Incentive Share Option within (i) two years from the date of grant of such Incentive Share Option or (ii) one year after the transfer of such Shares to the Participant.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(d)            Expiration of Incentive Share Options</w:t>
      </w:r>
      <w:r>
        <w:rPr>
          <w:rFonts w:ascii="Times New Roman;Times;serif" w:hAnsi="Times New Roman;Times;serif"/>
          <w:sz w:val="20"/>
        </w:rPr>
        <w:t>. No Award of an Incentive Share Option may be made pursuant to this Plan after the tenth anniversary of the Effective Date.</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(e)            Right to Exercise</w:t>
      </w:r>
      <w:r>
        <w:rPr>
          <w:rFonts w:ascii="Times New Roman;Times;serif" w:hAnsi="Times New Roman;Times;serif"/>
          <w:sz w:val="20"/>
        </w:rPr>
        <w:t>. During a Participant’s lifetime, an Incentive Share Option may be exercised only by the Participant.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6</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RESTRICTED SHARES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6.1            Grant of Restricted Shares</w:t>
      </w:r>
      <w:r>
        <w:rPr>
          <w:rFonts w:ascii="Times New Roman;Times;serif" w:hAnsi="Times New Roman;Times;serif"/>
          <w:sz w:val="20"/>
        </w:rPr>
        <w:t>. The Committee, at any time and from time to time, may grant Restricted Shares to Participants as the Committee, in its sole discretion, shall determine. The Committee, in its sole discretion, may determine the number of Restricted Shares to be granted to each Participant.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6.2            Restricted Shares Notice of Grant</w:t>
      </w:r>
      <w:r>
        <w:rPr>
          <w:rFonts w:ascii="Times New Roman;Times;serif" w:hAnsi="Times New Roman;Times;serif"/>
          <w:sz w:val="20"/>
        </w:rPr>
        <w:t>. Each Award of Restricted Shares shall be evidenced by a Notice of Grant that shall specify the period of restriction, the number of Restricted Shares granted, the vesting schedule and such other terms and conditions as the Committee, in its sole discretion, may determine. Unless the Committee determines otherwise, Restricted Shares shall be held by the Company as escrow agent until the restrictions on such Restricted Shares have lapsed.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12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6.3            Issuance and Restrictions</w:t>
      </w:r>
      <w:r>
        <w:rPr>
          <w:rFonts w:ascii="Times New Roman;Times;serif" w:hAnsi="Times New Roman;Times;serif"/>
          <w:sz w:val="20"/>
        </w:rPr>
        <w:t>. Restricted Shares shall be subject to such restrictions on transferability and other restrictions as the Committee may impose (including, without limitation, limitations on transfer, right of first refusal, repurchase provisions, forfeiture provisions,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pStyle w:val="TextBody"/>
        <w:spacing w:before="0" w:after="16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6.4            Forfeiture/Repurchase</w:t>
      </w:r>
      <w:r>
        <w:rPr>
          <w:rFonts w:ascii="Times New Roman;Times;serif" w:hAnsi="Times New Roman;Times;serif"/>
          <w:sz w:val="20"/>
        </w:rPr>
        <w:t>. Except as otherwise determined by the Committee at the time of the grant of the Award or thereafter, upon termination of employment or service during the applicable restriction period, the unvested Restricted Shares and the Restricted Shares that are at that time subject to restrictions shall be forfeited or repurchased in accordance with the Notice of Grant; </w:t>
      </w:r>
      <w:r>
        <w:rPr>
          <w:rFonts w:ascii="Times New Roman;Times;serif" w:hAnsi="Times New Roman;Times;serif"/>
          <w:i/>
          <w:sz w:val="20"/>
        </w:rPr>
        <w:t>provided, however</w:t>
      </w:r>
      <w:r>
        <w:rPr>
          <w:rFonts w:ascii="Times New Roman;Times;serif" w:hAnsi="Times New Roman;Times;serif"/>
          <w:sz w:val="20"/>
        </w:rPr>
        <w:t>, the Committee may (a) provide in any Restricted Share Notice of Grant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6.5            Certificates for Restricted Shares</w:t>
      </w:r>
      <w:r>
        <w:rPr>
          <w:rFonts w:ascii="Times New Roman;Times;serif" w:hAnsi="Times New Roman;Times;serif"/>
          <w:sz w:val="20"/>
        </w:rPr>
        <w:t>. Restricted Shares granted pursuant to the Plan may be evidenced in such manner as the Committee may determine. If certificates representing Restricted Shares are registered in the name of the Participant, certificates must bear an appropriate legend referring to the terms, conditions, and restrictions applicable to such Restricted Shares, and the Committee may, at its discretion, retain physical possession of the certificate until such time as all applicable restrictions lapse.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6.6            Removal of Restrictions</w:t>
      </w:r>
      <w:r>
        <w:rPr>
          <w:rFonts w:ascii="Times New Roman;Times;serif" w:hAnsi="Times New Roman;Times;serif"/>
          <w:sz w:val="20"/>
        </w:rPr>
        <w:t>. Except as otherwise provided in this </w:t>
      </w:r>
      <w:r>
        <w:rPr>
          <w:rFonts w:ascii="Times New Roman;Times;serif" w:hAnsi="Times New Roman;Times;serif"/>
          <w:b/>
          <w:sz w:val="20"/>
        </w:rPr>
        <w:t>Article 6</w:t>
      </w:r>
      <w:r>
        <w:rPr>
          <w:rFonts w:ascii="Times New Roman;Times;serif" w:hAnsi="Times New Roman;Times;serif"/>
          <w:sz w:val="20"/>
        </w:rPr>
        <w:t>,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w:t>
      </w:r>
      <w:r>
        <w:rPr>
          <w:rFonts w:ascii="Times New Roman;Times;serif" w:hAnsi="Times New Roman;Times;serif"/>
          <w:b/>
          <w:sz w:val="20"/>
        </w:rPr>
        <w:t>Section 6.5 </w:t>
      </w:r>
      <w:r>
        <w:rPr>
          <w:rFonts w:ascii="Times New Roman;Times;serif" w:hAnsi="Times New Roman;Times;serif"/>
          <w:sz w:val="20"/>
        </w:rPr>
        <w:t>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7</w:t>
      </w:r>
    </w:p>
    <w:p>
      <w:pPr>
        <w:pStyle w:val="TextBody"/>
        <w:spacing w:before="0" w:after="0"/>
        <w:ind w:left="3415" w:right="0" w:firstLine="72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RESTRICTED SHARE UNITS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7.1            Grant of Restricted Share Units</w:t>
      </w:r>
      <w:r>
        <w:rPr>
          <w:rFonts w:ascii="Times New Roman;Times;serif" w:hAnsi="Times New Roman;Times;serif"/>
          <w:sz w:val="20"/>
        </w:rPr>
        <w:t>. The Committee, at any time and from time to time, may grant Restricted Share Units to Participants as the Committee, in its sole discretion, may determine. The Committee, in its sole discretion, may determine the number of Restricted Share Units to be granted to each Participant.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7.2            Restricted Share Units Notice of Grant</w:t>
      </w:r>
      <w:r>
        <w:rPr>
          <w:rFonts w:ascii="Times New Roman;Times;serif" w:hAnsi="Times New Roman;Times;serif"/>
          <w:sz w:val="20"/>
        </w:rPr>
        <w:t>. Each Award of Restricted Share Units shall be evidenced by a Notice of Grant that shall specify any vesting conditions, the number of Restricted Share Units granted, the vesting schedule and the delivery schedule (which may include deferred delivery later than the vesting date) and such other terms and conditions as the Committee, in its sole discretion, may determine.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7.3            Performance Objectives and Other Terms</w:t>
      </w:r>
      <w:r>
        <w:rPr>
          <w:rFonts w:ascii="Times New Roman;Times;serif" w:hAnsi="Times New Roman;Times;serif"/>
          <w:sz w:val="20"/>
        </w:rPr>
        <w:t>. The Committee, in its discretion, may set performance objectives or other vesting criteria which, depending on the extent to which they are met, will determine the number or value of Restricted Share Units that will be paid out to the Participants.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7.4            Form and Timing of Payment of Restricted Share Units</w:t>
      </w:r>
      <w:r>
        <w:rPr>
          <w:rFonts w:ascii="Times New Roman;Times;serif" w:hAnsi="Times New Roman;Times;serif"/>
          <w:sz w:val="20"/>
        </w:rPr>
        <w:t>. At the time of grant, the Committee may specify the date or dates on which the Restricted Share Units shall become fully vested and nonforfeitable. Upon vesting, the Committee, on behalf of the Company, may pay Restricted Share Units in the form of cash, in Shares, or other forms of payment or in any combination of the foregoing, as agreed in the Notice of Grant.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7.5            Forfeiture/Repurchase</w:t>
      </w:r>
      <w:r>
        <w:rPr>
          <w:rFonts w:ascii="Times New Roman;Times;serif" w:hAnsi="Times New Roman;Times;serif"/>
          <w:sz w:val="20"/>
        </w:rPr>
        <w:t>. Except as otherwise determined by the Committee at the time of the grant of the Award or thereafter, upon termination of employment or service during the applicable restriction period or for other reasons recognized by the Committee, Restricted Share Units that are at that time unvested shall be forfeited or repurchased by the Company in accordance with the Notice of Grant; </w:t>
      </w:r>
      <w:r>
        <w:rPr>
          <w:rFonts w:ascii="Times New Roman;Times;serif" w:hAnsi="Times New Roman;Times;serif"/>
          <w:i/>
          <w:sz w:val="20"/>
        </w:rPr>
        <w:t>provided, however</w:t>
      </w:r>
      <w:r>
        <w:rPr>
          <w:rFonts w:ascii="Times New Roman;Times;serif" w:hAnsi="Times New Roman;Times;serif"/>
          <w:sz w:val="20"/>
        </w:rPr>
        <w:t>, the Committee may (a) provide in any Restricted Share Notice of Grant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8</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PROVISIONS APPLICABLE TO AWARDS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8.1            Notice of Grant</w:t>
      </w:r>
      <w:r>
        <w:rPr>
          <w:rFonts w:ascii="Times New Roman;Times;serif" w:hAnsi="Times New Roman;Times;serif"/>
          <w:sz w:val="20"/>
        </w:rPr>
        <w:t>. Awards under the Plan shall be evidenced by Notice of Grant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8.2</w:t>
      </w:r>
      <w:r>
        <w:rPr>
          <w:rFonts w:ascii="Times New Roman;Times;serif" w:hAnsi="Times New Roman;Times;serif"/>
          <w:sz w:val="20"/>
        </w:rPr>
        <w:t>            </w:t>
      </w:r>
      <w:r>
        <w:rPr>
          <w:rFonts w:ascii="Times New Roman;Times;serif" w:hAnsi="Times New Roman;Times;serif"/>
          <w:b/>
          <w:sz w:val="20"/>
        </w:rPr>
        <w:t>No Transfer</w:t>
      </w:r>
      <w:r>
        <w:rPr>
          <w:rFonts w:ascii="Times New Roman;Times;serif" w:hAnsi="Times New Roman;Times;serif"/>
          <w:sz w:val="20"/>
        </w:rPr>
        <w:t>ability; Limited Exception to Transfer Restrictions.</w:t>
      </w:r>
    </w:p>
    <w:p>
      <w:pPr>
        <w:pStyle w:val="TextBody"/>
        <w:spacing w:before="0" w:after="0"/>
        <w:ind w:left="0" w:right="0" w:hanging="0"/>
        <w:rPr/>
      </w:pPr>
      <w:r>
        <w:rPr/>
        <w:t>​</w:t>
      </w:r>
    </w:p>
    <w:p>
      <w:pPr>
        <w:pStyle w:val="TextBody"/>
        <w:spacing w:before="0" w:after="0"/>
        <w:ind w:left="0" w:right="0" w:firstLine="1440"/>
        <w:jc w:val="both"/>
        <w:rPr/>
      </w:pPr>
      <w:r>
        <w:rPr/>
        <w:t>  </w:t>
      </w:r>
      <w:r>
        <w:rPr>
          <w:rFonts w:ascii="Times New Roman;Times;serif" w:hAnsi="Times New Roman;Times;serif"/>
          <w:b/>
          <w:sz w:val="20"/>
        </w:rPr>
        <w:t>8.2.1     Limits on Transfer</w:t>
      </w:r>
      <w:r>
        <w:rPr>
          <w:rFonts w:ascii="Times New Roman;Times;serif" w:hAnsi="Times New Roman;Times;serif"/>
          <w:sz w:val="20"/>
        </w:rPr>
        <w:t>. Unless otherwise expressly provided in (or pursuant to) this </w:t>
      </w:r>
      <w:r>
        <w:rPr>
          <w:rFonts w:ascii="Times New Roman;Times;serif" w:hAnsi="Times New Roman;Times;serif"/>
          <w:b/>
          <w:sz w:val="20"/>
        </w:rPr>
        <w:t>Section 8.2</w:t>
      </w:r>
      <w:r>
        <w:rPr>
          <w:rFonts w:ascii="Times New Roman;Times;serif" w:hAnsi="Times New Roman;Times;serif"/>
          <w:sz w:val="20"/>
        </w:rPr>
        <w:t>, by Applicable Law and by the Notice of Grant, as the same may be amended: all Awards are non-transferable and will not be subject in any manner to sale, transfer, anticipation, alienation, assignment, pledge, encumbrance, or charge;</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Awards will be exercised only by the Participant or the Participant’s legal representative or beneficiary in the case of the Participant’s Disability or death, respectively, as set forth under Section 5.1(e)(ii); and</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w:t>
      </w:r>
      <w:r>
        <w:rPr>
          <w:rFonts w:ascii="Times New Roman;Times;serif" w:hAnsi="Times New Roman;Times;serif"/>
          <w:sz w:val="20"/>
        </w:rPr>
        <w:t>amounts payable or shares issuable pursuant to an Award will be delivered only to (or for the account of), and, in the case of Shares, registered in the name of, the Participant.</w:t>
      </w:r>
    </w:p>
    <w:p>
      <w:pPr>
        <w:pStyle w:val="TextBody"/>
        <w:spacing w:before="0" w:after="0"/>
        <w:ind w:left="0" w:right="0" w:hanging="0"/>
        <w:rPr/>
      </w:pPr>
      <w:r>
        <w:rPr/>
        <w:t>​</w:t>
      </w:r>
    </w:p>
    <w:p>
      <w:pPr>
        <w:pStyle w:val="TextBody"/>
        <w:spacing w:before="0" w:after="0"/>
        <w:ind w:left="2160" w:right="0" w:hanging="0"/>
        <w:rPr>
          <w:rFonts w:ascii="Times New Roman;Times;serif" w:hAnsi="Times New Roman;Times;serif"/>
          <w:sz w:val="20"/>
        </w:rPr>
      </w:pPr>
      <w:r>
        <w:rPr>
          <w:rFonts w:ascii="Times New Roman;Times;serif" w:hAnsi="Times New Roman;Times;serif"/>
          <w:sz w:val="20"/>
        </w:rPr>
        <w:t>In addition, the Shares shall be subject to the restrictions set forth in the applicable Notice of Grant.</w:t>
      </w:r>
    </w:p>
    <w:p>
      <w:pPr>
        <w:pStyle w:val="TextBody"/>
        <w:spacing w:before="0" w:after="0"/>
        <w:ind w:left="0" w:right="0" w:hanging="0"/>
        <w:rPr/>
      </w:pPr>
      <w:r>
        <w:rPr/>
        <w:t>​</w:t>
      </w:r>
    </w:p>
    <w:p>
      <w:pPr>
        <w:pStyle w:val="TextBody"/>
        <w:spacing w:before="0" w:after="0"/>
        <w:ind w:left="0" w:right="0" w:firstLine="1440"/>
        <w:rPr/>
      </w:pPr>
      <w:r>
        <w:rPr/>
        <w:t>  </w:t>
      </w:r>
      <w:r>
        <w:rPr>
          <w:rFonts w:ascii="Times New Roman;Times;serif" w:hAnsi="Times New Roman;Times;serif"/>
          <w:b/>
          <w:sz w:val="20"/>
        </w:rPr>
        <w:t>8.2.2     Further Exceptions to Limits on Transfer</w:t>
      </w:r>
      <w:r>
        <w:rPr>
          <w:rFonts w:ascii="Times New Roman;Times;serif" w:hAnsi="Times New Roman;Times;serif"/>
          <w:sz w:val="20"/>
        </w:rPr>
        <w:t>. The exercise and transfer restrictions in </w:t>
      </w:r>
      <w:r>
        <w:rPr>
          <w:rFonts w:ascii="Times New Roman;Times;serif" w:hAnsi="Times New Roman;Times;serif"/>
          <w:b/>
          <w:sz w:val="20"/>
        </w:rPr>
        <w:t>Section 8.2.1 </w:t>
      </w:r>
      <w:r>
        <w:rPr>
          <w:rFonts w:ascii="Times New Roman;Times;serif" w:hAnsi="Times New Roman;Times;serif"/>
          <w:sz w:val="20"/>
        </w:rPr>
        <w:t>will not apply to:</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 transfers to the Company or a Subsidiary;</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(b)            </w:t>
      </w:r>
      <w:r>
        <w:rPr>
          <w:rFonts w:ascii="Times New Roman;Times;serif" w:hAnsi="Times New Roman;Times;serif"/>
          <w:sz w:val="20"/>
        </w:rPr>
        <w:t>transfers by gift to “</w:t>
      </w:r>
      <w:r>
        <w:rPr>
          <w:rFonts w:ascii="Times New Roman;Times;serif" w:hAnsi="Times New Roman;Times;serif"/>
          <w:b/>
          <w:sz w:val="20"/>
        </w:rPr>
        <w:t>immediate family</w:t>
      </w:r>
      <w:r>
        <w:rPr>
          <w:rFonts w:ascii="Times New Roman;Times;serif" w:hAnsi="Times New Roman;Times;serif"/>
          <w:sz w:val="20"/>
        </w:rPr>
        <w:t>” as that term is defined in SEC Rule 16a-1(e) promulgated under the Exchange Act;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(c)            </w:t>
      </w:r>
      <w:r>
        <w:rPr>
          <w:rFonts w:ascii="Times New Roman;Times;serif" w:hAnsi="Times New Roman;Times;serif"/>
          <w:sz w:val="20"/>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(d)            </w:t>
      </w:r>
      <w:r>
        <w:rPr>
          <w:rFonts w:ascii="Times New Roman;Times;serif" w:hAnsi="Times New Roman;Times;serif"/>
          <w:sz w:val="20"/>
        </w:rPr>
        <w:t>if the Participant has suffered a disability, permitted transfers or exercises on behalf of the Participant by the Participant’s duly authorized legal representative; or</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(e)            </w:t>
      </w:r>
      <w:r>
        <w:rPr>
          <w:rFonts w:ascii="Times New Roman;Times;serif" w:hAnsi="Times New Roman;Times;serif"/>
          <w:sz w:val="20"/>
        </w:rPr>
        <w:t>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as may be expressly approved by the Committee, pursuant to such conditions and procedures as the Committee or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pStyle w:val="TextBody"/>
        <w:spacing w:before="0" w:after="0"/>
        <w:ind w:left="0" w:right="0" w:hanging="0"/>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16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sz w:val="20"/>
        </w:rPr>
        <w:t>Notwithstanding anything else in this </w:t>
      </w:r>
      <w:r>
        <w:rPr>
          <w:rFonts w:ascii="Times New Roman;Times;serif" w:hAnsi="Times New Roman;Times;serif"/>
          <w:b/>
          <w:sz w:val="20"/>
        </w:rPr>
        <w:t>Section 8.2.2 </w:t>
      </w:r>
      <w:r>
        <w:rPr>
          <w:rFonts w:ascii="Times New Roman;Times;serif" w:hAnsi="Times New Roman;Times;serif"/>
          <w:sz w:val="20"/>
        </w:rPr>
        <w:t>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8.3            Beneficiaries</w:t>
      </w:r>
      <w:r>
        <w:rPr>
          <w:rFonts w:ascii="Times New Roman;Times;serif" w:hAnsi="Times New Roman;Times;serif"/>
          <w:sz w:val="20"/>
        </w:rPr>
        <w:t>. Notwithstanding </w:t>
      </w:r>
      <w:r>
        <w:rPr>
          <w:rFonts w:ascii="Times New Roman;Times;serif" w:hAnsi="Times New Roman;Times;serif"/>
          <w:b/>
          <w:sz w:val="20"/>
        </w:rPr>
        <w:t>Section 8.2</w:t>
      </w:r>
      <w:r>
        <w:rPr>
          <w:rFonts w:ascii="Times New Roman;Times;serif" w:hAnsi="Times New Roman;Times;serif"/>
          <w:sz w:val="20"/>
        </w:rPr>
        <w: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Notice of Grant applicable to the Participant, except to the extent the Plan and Notice of Grant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8.4            Share Certificates</w:t>
      </w:r>
      <w:r>
        <w:rPr>
          <w:rFonts w:ascii="Times New Roman;Times;serif" w:hAnsi="Times New Roman;Times;serif"/>
          <w:sz w:val="20"/>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8.5            Paperless Administration</w:t>
      </w:r>
      <w:r>
        <w:rPr>
          <w:rFonts w:ascii="Times New Roman;Times;serif" w:hAnsi="Times New Roman;Times;serif"/>
          <w:sz w:val="20"/>
        </w:rPr>
        <w:t>. Subject to Applicable Laws, the Committee may make Awards, provide applicable disclosure and procedures for exercise of Awards by an internet website or interactive voice response system for the paperless administration of Awards.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8.6            Payment Method</w:t>
      </w:r>
      <w:r>
        <w:rPr>
          <w:rFonts w:ascii="Times New Roman;Times;serif" w:hAnsi="Times New Roman;Times;serif"/>
          <w:sz w:val="20"/>
        </w:rPr>
        <w:t>. In the event the exercise price for an Award is paid in a currency other than U.S. dollars or any other form of payment as permitted in the Notice of Grant, the amount payable will be determined by conversion from U.S. dollars at the exchange rates set forth in the Notice of Grant or as selected by the Committee on the date of exercise. A Participant (or his or her legal representative or beneficiary, in the case of the Participant’s Disability or death, respectively), may be required to provide evidence that any currency used to pay the exercise price of any Award was acquired and taken out of the jurisdiction in which the Participant resides in accordance with Applicable Laws, including foreign exchange control laws and regulations.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9</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CHANGES IN CAPITAL STRUCTURE</w:t>
      </w:r>
    </w:p>
    <w:p>
      <w:pPr>
        <w:pStyle w:val="TextBody"/>
        <w:spacing w:before="0" w:after="16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9.1            Adjustments</w:t>
      </w:r>
      <w:r>
        <w:rPr>
          <w:rFonts w:ascii="Times New Roman;Times;serif" w:hAnsi="Times New Roman;Times;serif"/>
          <w:sz w:val="20"/>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Committee may, make such proportionate and equitable adjustments, if any, as the Committee in its discretion may deem appropriate to reflect such change with respect to (a) the aggregate number and type of shares that may be issued under the Plan (including, but not limited to, adjustments of the Share Limit in </w:t>
      </w:r>
      <w:r>
        <w:rPr>
          <w:rFonts w:ascii="Times New Roman;Times;serif" w:hAnsi="Times New Roman;Times;serif"/>
          <w:b/>
          <w:sz w:val="20"/>
        </w:rPr>
        <w:t>Section 3.1</w:t>
      </w:r>
      <w:r>
        <w:rPr>
          <w:rFonts w:ascii="Times New Roman;Times;serif" w:hAnsi="Times New Roman;Times;serif"/>
          <w:sz w:val="20"/>
        </w:rPr>
        <w:t>); (b) the terms and conditions of any issued and outstanding Awards (including, without limitation, any applicable performance targets or criteria with respect thereto); and (c) the grant or exercise price per share for any issued and outstanding Awards under the Plan.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9.2            Corporate Transactions</w:t>
      </w:r>
      <w:r>
        <w:rPr>
          <w:rFonts w:ascii="Times New Roman;Times;serif" w:hAnsi="Times New Roman;Times;serif"/>
          <w:sz w:val="20"/>
        </w:rPr>
        <w:t>. Except as may otherwise be provided in any Notice of Grant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may determine, or (ii) the purchase of any Award for an amount of cash, as determined by the Committee in good faith, which may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which will preserve the rights under the affected Awards previously granted hereunder,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9.3            Outstanding Awards – Other Changes</w:t>
      </w:r>
      <w:r>
        <w:rPr>
          <w:rFonts w:ascii="Times New Roman;Times;serif" w:hAnsi="Times New Roman;Times;serif"/>
          <w:sz w:val="20"/>
        </w:rPr>
        <w:t>. In the event of any other change in the capitalization of the Company or corporate change other than those specifically referred to in this </w:t>
      </w:r>
      <w:r>
        <w:rPr>
          <w:rFonts w:ascii="Times New Roman;Times;serif" w:hAnsi="Times New Roman;Times;serif"/>
          <w:b/>
          <w:sz w:val="20"/>
        </w:rPr>
        <w:t>Article 9</w:t>
      </w:r>
      <w:r>
        <w:rPr>
          <w:rFonts w:ascii="Times New Roman;Times;serif" w:hAnsi="Times New Roman;Times;serif"/>
          <w:sz w:val="20"/>
        </w:rPr>
        <w:t>, the Committee may, in its absolute discretion, make such adjustments in the number and class of shares subject to Awards issued and outstanding on the date on which such change occurs and in the per share grant or exercise price of each Award as the Committee may consider appropriate to prevent dilution or enlargement of rights.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9.4            No Other Rights</w:t>
      </w:r>
      <w:r>
        <w:rPr>
          <w:rFonts w:ascii="Times New Roman;Times;serif" w:hAnsi="Times New Roman;Times;serif"/>
          <w:sz w:val="20"/>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10</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ADMINISTRATION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10.1         Committee</w:t>
      </w:r>
      <w:r>
        <w:rPr>
          <w:rFonts w:ascii="Times New Roman;Times;serif" w:hAnsi="Times New Roman;Times;serif"/>
          <w:sz w:val="20"/>
        </w:rPr>
        <w:t>. The Plan shall be administered by a committee of one or more members of the Board to whom the Board shall delegate the authority to grant or amend Awards to Participants other than any of the Committee members.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10.2          Action by the Committee</w:t>
      </w:r>
      <w:r>
        <w:rPr>
          <w:rFonts w:ascii="Times New Roman;Times;serif" w:hAnsi="Times New Roman;Times;serif"/>
          <w:sz w:val="20"/>
        </w:rPr>
        <w:t>. Each member of the Committee is entitled to, in good faith, rely or act upon any report or other information furnished to it by any officer or other employee of the Company or any Parent, Subsidiary or Related Entity of the Company, the Company’s independent certified public accountants, or any executive compensation consultant or other professional retained by the Company to assist in the administration of the Plan.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10.3         Authority of the Committee</w:t>
      </w:r>
      <w:r>
        <w:rPr>
          <w:rFonts w:ascii="Times New Roman;Times;serif" w:hAnsi="Times New Roman;Times;serif"/>
          <w:sz w:val="20"/>
        </w:rPr>
        <w:t>. Subject to any specific designation in the Plan, the Committee has the exclusive power, authority and discretion to:</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designate Participants to receive Awards;</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determine the type or types of Awards to be granted to each Participant;</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(c)            </w:t>
      </w:r>
      <w:r>
        <w:rPr>
          <w:rFonts w:ascii="Times New Roman;Times;serif" w:hAnsi="Times New Roman;Times;serif"/>
          <w:sz w:val="20"/>
        </w:rPr>
        <w:t>determine the number of Awards to be granted and the number of Shares to which an Award will relate;</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(d)            </w:t>
      </w:r>
      <w:r>
        <w:rPr>
          <w:rFonts w:ascii="Times New Roman;Times;serif" w:hAnsi="Times New Roman;Times;serif"/>
          <w:sz w:val="20"/>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(e)            </w:t>
      </w:r>
      <w:r>
        <w:rPr>
          <w:rFonts w:ascii="Times New Roman;Times;serif" w:hAnsi="Times New Roman;Times;serif"/>
          <w:sz w:val="20"/>
        </w:rPr>
        <w:t>determine whether, to what extent, and pursuant to what circumstances an Award may be settled in, or the exercise price of an Award may be paid in, cash, Shares, other Awards, or other property, or an Award may be canceled, forfeited, or surrendered;</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(f)            </w:t>
      </w:r>
      <w:r>
        <w:rPr>
          <w:rFonts w:ascii="Times New Roman;Times;serif" w:hAnsi="Times New Roman;Times;serif"/>
          <w:sz w:val="20"/>
        </w:rPr>
        <w:t>prescribe the form of each Notice of Grant, which need not be identical for each Participant;</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sz w:val="20"/>
        </w:rPr>
        <w:t>           decide all other matters that must be determined in connection with an Award;</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(h)            </w:t>
      </w:r>
      <w:r>
        <w:rPr>
          <w:rFonts w:ascii="Times New Roman;Times;serif" w:hAnsi="Times New Roman;Times;serif"/>
          <w:sz w:val="20"/>
        </w:rPr>
        <w:t>correct any defect, supply any omission and reconcile any inconsistency in the Plan or any Award, in the manner and to the extent it shall deem desirable to carry the Plan into effect;</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(i)            </w:t>
      </w:r>
      <w:r>
        <w:rPr>
          <w:rFonts w:ascii="Times New Roman;Times;serif" w:hAnsi="Times New Roman;Times;serif"/>
          <w:sz w:val="20"/>
        </w:rPr>
        <w:t>establish, adopt, waive, or revise any rules and regulations as it may deem necessary or advisable to administer the Plan;</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(j)            </w:t>
      </w:r>
      <w:r>
        <w:rPr>
          <w:rFonts w:ascii="Times New Roman;Times;serif" w:hAnsi="Times New Roman;Times;serif"/>
          <w:sz w:val="20"/>
        </w:rPr>
        <w:t>interpret the terms of, and any matter arising pursuant to, the Plan or any Notice of Grant;</w:t>
      </w:r>
    </w:p>
    <w:p>
      <w:pPr>
        <w:pStyle w:val="TextBody"/>
        <w:spacing w:before="0" w:after="0"/>
        <w:ind w:left="0" w:right="0" w:hanging="0"/>
        <w:rPr/>
      </w:pPr>
      <w:r>
        <w:rPr/>
        <w:t>​</w:t>
      </w:r>
    </w:p>
    <w:p>
      <w:pPr>
        <w:pStyle w:val="TextBody"/>
        <w:spacing w:before="0" w:after="0"/>
        <w:ind w:left="0" w:right="0" w:firstLine="2160"/>
        <w:rPr>
          <w:rFonts w:ascii="Times New Roman;Times;serif" w:hAnsi="Times New Roman;Times;serif"/>
          <w:sz w:val="20"/>
        </w:rPr>
      </w:pPr>
      <w:r>
        <w:rPr>
          <w:rFonts w:ascii="Times New Roman;Times;serif" w:hAnsi="Times New Roman;Times;serif"/>
          <w:b/>
          <w:sz w:val="20"/>
        </w:rPr>
        <w:t>(k)</w:t>
      </w:r>
      <w:r>
        <w:rPr>
          <w:rFonts w:ascii="Times New Roman;Times;serif" w:hAnsi="Times New Roman;Times;serif"/>
          <w:sz w:val="20"/>
        </w:rPr>
        <w:t>           reduce the exercise price per Share underlying an Option; and</w:t>
      </w:r>
    </w:p>
    <w:p>
      <w:pPr>
        <w:pStyle w:val="TextBody"/>
        <w:spacing w:before="0" w:after="0"/>
        <w:ind w:left="0" w:right="0" w:hanging="0"/>
        <w:rPr/>
      </w:pPr>
      <w:r>
        <w:rPr/>
        <w:t>​</w:t>
      </w:r>
    </w:p>
    <w:p>
      <w:pPr>
        <w:pStyle w:val="TextBody"/>
        <w:spacing w:before="0" w:after="0"/>
        <w:ind w:left="0" w:right="0" w:firstLine="2160"/>
        <w:jc w:val="both"/>
        <w:rPr>
          <w:rFonts w:ascii="Times New Roman;Times;serif" w:hAnsi="Times New Roman;Times;serif"/>
          <w:sz w:val="20"/>
        </w:rPr>
      </w:pPr>
      <w:r>
        <w:rPr>
          <w:rFonts w:ascii="Times New Roman;Times;serif" w:hAnsi="Times New Roman;Times;serif"/>
          <w:b/>
          <w:sz w:val="20"/>
        </w:rPr>
        <w:t>(l)            </w:t>
      </w:r>
      <w:r>
        <w:rPr>
          <w:rFonts w:ascii="Times New Roman;Times;serif" w:hAnsi="Times New Roman;Times;serif"/>
          <w:sz w:val="20"/>
        </w:rPr>
        <w:t>make all other decisions and determinations that may be required pursuant to the Plan or as the Committee deems necessary or advisable to administer the Plan.</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10.4          Decisions Binding</w:t>
      </w:r>
      <w:r>
        <w:rPr>
          <w:rFonts w:ascii="Times New Roman;Times;serif" w:hAnsi="Times New Roman;Times;serif"/>
          <w:sz w:val="20"/>
        </w:rPr>
        <w:t>. The Committee’s interpretation of the Plan, any Awards granted pursuant to the Plan, any Notice of Grant and all decisions and determinations by the Committee with respect to the Plan are final, binding, and conclusive on all parties, including but not limited to the Company, its shareholders, Participants and any beneficiaries thereof.</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AND EXPIRATION DATE</w:t>
      </w:r>
    </w:p>
    <w:p>
      <w:pPr>
        <w:pStyle w:val="TextBody"/>
        <w:spacing w:before="0" w:after="16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11.1          Effective Date</w:t>
      </w:r>
      <w:r>
        <w:rPr>
          <w:rFonts w:ascii="Times New Roman;Times;serif" w:hAnsi="Times New Roman;Times;serif"/>
          <w:sz w:val="20"/>
        </w:rPr>
        <w:t>. The Plan is effective on the Acquisition Merger Effective Time as defined in the A&amp;R Merger Agreement (the “</w:t>
      </w:r>
      <w:r>
        <w:rPr>
          <w:rFonts w:ascii="Times New Roman;Times;serif" w:hAnsi="Times New Roman;Times;serif"/>
          <w:b/>
          <w:sz w:val="20"/>
        </w:rPr>
        <w:t>Effective Date</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11.2          Expiration Date</w:t>
      </w:r>
      <w:r>
        <w:rPr>
          <w:rFonts w:ascii="Times New Roman;Times;serif" w:hAnsi="Times New Roman;Times;serif"/>
          <w:sz w:val="20"/>
        </w:rPr>
        <w:t>. The Plan will expire on, and no Award may be granted pursuant to the Plan after, the tenth anniversary of the Effective Date, unless otherwise determined by the Committee. Any Awards that are outstanding on the tenth anniversary of the Effective Date shall remain in force according to the terms of the Plan and the applicable Notice of Grant.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MODIFICATION, AND TERMINATION</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12.1          Amendment, Modification, And Termination</w:t>
      </w:r>
      <w:r>
        <w:rPr>
          <w:rFonts w:ascii="Times New Roman;Times;serif" w:hAnsi="Times New Roman;Times;serif"/>
          <w:sz w:val="20"/>
        </w:rPr>
        <w:t>. With the approval of the Board, at any time and from time to time, the Committee may, terminate, amend, modify, alter, suspend or discontinue the Plan or any portion thereof.</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12.2          Awards Previously Granted</w:t>
      </w:r>
      <w:r>
        <w:rPr>
          <w:rFonts w:ascii="Times New Roman;Times;serif" w:hAnsi="Times New Roman;Times;serif"/>
          <w:sz w:val="20"/>
        </w:rPr>
        <w:t>. Except with respect to amendments made pursuant to </w:t>
      </w:r>
      <w:r>
        <w:rPr>
          <w:rFonts w:ascii="Times New Roman;Times;serif" w:hAnsi="Times New Roman;Times;serif"/>
          <w:b/>
          <w:sz w:val="20"/>
        </w:rPr>
        <w:t>Section 12.1</w:t>
      </w:r>
      <w:r>
        <w:rPr>
          <w:rFonts w:ascii="Times New Roman;Times;serif" w:hAnsi="Times New Roman;Times;serif"/>
          <w:sz w:val="20"/>
        </w:rPr>
        <w:t>, no termination, amendment, or modification of the Plan shall adversely affect in any material way any Award previously granted pursuant to the Plan without the prior written consent of the Participant, except to the extent any such amendment, alteration, suspension, discontinuance or termination is made to cause the Plan to comply with applicable law, stock market or exchange rules and regulations or accounting or tax rules and regulations.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13</w:t>
      </w:r>
    </w:p>
    <w:p>
      <w:pPr>
        <w:pStyle w:val="TextBody"/>
        <w:spacing w:before="0" w:after="0"/>
        <w:ind w:left="3619" w:right="0" w:firstLine="72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PROVISIONS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          No Rights to Awards</w:t>
      </w:r>
      <w:r>
        <w:rPr>
          <w:rFonts w:ascii="Times New Roman;Times;serif" w:hAnsi="Times New Roman;Times;serif"/>
          <w:sz w:val="20"/>
        </w:rPr>
        <w:t>. No Participant, Employee, Director, Consultant or other Person shall have any claim to be granted any Award pursuant to the Plan, and neither the Company nor the Committee is obligated to treat Participants, Employees, Directors, Consultants and other Persons uniformly. The terms and conditions of Awards and the Committee’s determinations and interpretations with respect thereto need not be the same with respect to each Participant (whether or not such Participant is similarly situated).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13.2          No Shareholders Rights</w:t>
      </w:r>
      <w:r>
        <w:rPr>
          <w:rFonts w:ascii="Times New Roman;Times;serif" w:hAnsi="Times New Roman;Times;serif"/>
          <w:sz w:val="20"/>
        </w:rPr>
        <w:t>. No Award gives the Participant any of the rights of a Shareholder of the Company unless and until Shares are in fact issued to such Person in connection with such Award.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13.3          Taxes</w:t>
      </w:r>
      <w:r>
        <w:rPr>
          <w:rFonts w:ascii="Times New Roman;Times;serif" w:hAnsi="Times New Roman;Times;serif"/>
          <w:sz w:val="20"/>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 come and payroll tax purposes that are applicable to such supplemental taxable income.</w:t>
      </w:r>
    </w:p>
    <w:p>
      <w:pPr>
        <w:pStyle w:val="TextBody"/>
        <w:spacing w:before="0" w:after="16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13.4          No Right to Employment or Services</w:t>
      </w:r>
      <w:r>
        <w:rPr>
          <w:rFonts w:ascii="Times New Roman;Times;serif" w:hAnsi="Times New Roman;Times;serif"/>
          <w:sz w:val="20"/>
        </w:rPr>
        <w:t>. Nothing in the Plan or any Notice of Grant shall interfere with or limit in any way the right of the Service Recipient to terminate any Participant’s employment or services at any time, nor confer upon any Participant any right to continue in the employment or services of any Service Recipient.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13.5          Unfunded Status of Awards</w:t>
      </w:r>
      <w:r>
        <w:rPr>
          <w:rFonts w:ascii="Times New Roman;Times;serif" w:hAnsi="Times New Roman;Times;serif"/>
          <w:sz w:val="20"/>
        </w:rPr>
        <w:t>. The Plan is intended to be an “unfunded” plan for incentive compensation. With respect to any payments not yet made to a Participant pursuant to an Award, nothing contained in the Plan or any Notice of Grant shall give the Participant any rights that are greater than those of a general creditor of the Company or any Subsidiary.</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13.6          Indemnification</w:t>
      </w:r>
      <w:r>
        <w:rPr>
          <w:rFonts w:ascii="Times New Roman;Times;serif" w:hAnsi="Times New Roman;Times;serif"/>
          <w:sz w:val="20"/>
        </w:rPr>
        <w:t>. To the extent allowable pursuant to Applicable Laws, each member of the Committee or of the Board shall be indemnified and held harmless by the Company from any loss, cost, liability, or expense that may be imposed upon or reasonably incurred by them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Times;serif" w:hAnsi="Times New Roman;Times;serif"/>
          <w:i/>
          <w:sz w:val="20"/>
        </w:rPr>
        <w:t>provided </w:t>
      </w:r>
      <w:r>
        <w:rPr>
          <w:rFonts w:ascii="Times New Roman;Times;serif" w:hAnsi="Times New Roman;Times;serif"/>
          <w:sz w:val="20"/>
        </w:rPr>
        <w:t>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13.7          Relationship to other Benefits</w:t>
      </w:r>
      <w:r>
        <w:rPr>
          <w:rFonts w:ascii="Times New Roman;Times;serif" w:hAnsi="Times New Roman;Times;serif"/>
          <w:sz w:val="20"/>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13.8          Expenses</w:t>
      </w:r>
      <w:r>
        <w:rPr>
          <w:rFonts w:ascii="Times New Roman;Times;serif" w:hAnsi="Times New Roman;Times;serif"/>
          <w:sz w:val="20"/>
        </w:rPr>
        <w:t>. The expenses of administering the Plan shall be borne by the Company and its Subsidiaries.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13.9          Titles and Headings</w:t>
      </w:r>
      <w:r>
        <w:rPr>
          <w:rFonts w:ascii="Times New Roman;Times;serif" w:hAnsi="Times New Roman;Times;serif"/>
          <w:sz w:val="20"/>
        </w:rPr>
        <w:t>. The titles and headings of the Sections in the Plan are for convenience of reference only and, in the event of any conflict, the text of the Plan, rather than such titles or headings, shall control.</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13.10       Fractional Shares</w:t>
      </w:r>
      <w:r>
        <w:rPr>
          <w:rFonts w:ascii="Times New Roman;Times;serif" w:hAnsi="Times New Roman;Times;serif"/>
          <w:sz w:val="20"/>
        </w:rPr>
        <w:t>. No fractional Shares shall be issued and the Committee may determine, in its discretion, whether cash shall be given in lieu of fractional Shares or whether such fractional Shares shall be eliminated by rounding up or down as appropriate.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13.11       Limitations Applicable to Section 16 Persons</w:t>
      </w:r>
      <w:r>
        <w:rPr>
          <w:rFonts w:ascii="Times New Roman;Times;serif" w:hAnsi="Times New Roman;Times;serif"/>
          <w:sz w:val="20"/>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13.12        Government and Other Regulations</w:t>
      </w:r>
      <w:r>
        <w:rPr>
          <w:rFonts w:ascii="Times New Roman;Times;serif" w:hAnsi="Times New Roman;Times;serif"/>
          <w:sz w:val="20"/>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pStyle w:val="TextBody"/>
        <w:spacing w:before="0" w:after="16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13.13       Governing Law</w:t>
      </w:r>
      <w:r>
        <w:rPr>
          <w:rFonts w:ascii="Times New Roman;Times;serif" w:hAnsi="Times New Roman;Times;serif"/>
          <w:sz w:val="20"/>
        </w:rPr>
        <w:t>. The Plan and all Notice of Grant shall be construed in accordance with and governed by the laws of the Cayman Islands.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13.14       Section 409A</w:t>
      </w:r>
      <w:r>
        <w:rPr>
          <w:rFonts w:ascii="Times New Roman;Times;serif" w:hAnsi="Times New Roman;Times;serif"/>
          <w:sz w:val="20"/>
        </w:rPr>
        <w:t>. To the extent that the Committee determines that any Award granted under the Plan is or may become subject to Section 409A of the Code, the Notice of Grant evidencing such Award shall incorporate the terms and conditions required by Section 409A of the Code. To the extent applicable, the Plan and the Notice of Grant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Notice of Grant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13.15       Appendices</w:t>
      </w:r>
      <w:r>
        <w:rPr>
          <w:rFonts w:ascii="Times New Roman;Times;serif" w:hAnsi="Times New Roman;Times;serif"/>
          <w:sz w:val="20"/>
        </w:rPr>
        <w:t>.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 contained in </w:t>
      </w:r>
      <w:r>
        <w:rPr>
          <w:rFonts w:ascii="Times New Roman;Times;serif" w:hAnsi="Times New Roman;Times;serif"/>
          <w:b/>
          <w:sz w:val="20"/>
        </w:rPr>
        <w:t>Section 3.1 </w:t>
      </w:r>
      <w:r>
        <w:rPr>
          <w:rFonts w:ascii="Times New Roman;Times;serif" w:hAnsi="Times New Roman;Times;serif"/>
          <w:sz w:val="20"/>
        </w:rPr>
        <w:t>of the Plan without the approval of the Board.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047" w:name="btdr-20221231xex12d1.htm"/>
      <w:bookmarkStart w:id="2048" w:name="ksbtdr20221231xex12d1"/>
      <w:bookmarkEnd w:id="2047"/>
      <w:bookmarkEnd w:id="2048"/>
      <w:r>
        <w:rPr>
          <w:rFonts w:ascii="Times New Roman;Times;serif" w:hAnsi="Times New Roman;Times;serif"/>
          <w:b/>
          <w:sz w:val="24"/>
        </w:rPr>
        <w:t>Exhibit 12.1</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Certification by the Chief Executive Officer</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302 of the Sarbanes-Oxley Act of 2002</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I, Linghui Kong, certify that:</w:t>
      </w:r>
    </w:p>
    <w:tbl>
      <w:tblPr>
        <w:tblW w:w="9603" w:type="dxa"/>
        <w:jc w:val="left"/>
        <w:tblInd w:w="0" w:type="dxa"/>
        <w:tblCellMar>
          <w:top w:w="0" w:type="dxa"/>
          <w:left w:w="0" w:type="dxa"/>
          <w:bottom w:w="0" w:type="dxa"/>
          <w:right w:w="0" w:type="dxa"/>
        </w:tblCellMar>
      </w:tblPr>
      <w:tblGrid>
        <w:gridCol w:w="23"/>
        <w:gridCol w:w="200"/>
        <w:gridCol w:w="938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1.</w:t>
            </w:r>
          </w:p>
        </w:tc>
        <w:tc>
          <w:tcPr>
            <w:tcW w:w="938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4"/>
              </w:rPr>
              <w:t xml:space="preserve">I have reviewed this annual report on Form 20-F of </w:t>
            </w:r>
            <w:r>
              <w:rPr>
                <w:rFonts w:ascii="Times New Roman;Times;serif" w:hAnsi="Times New Roman;Times;serif"/>
                <w:color w:val="231F20"/>
                <w:sz w:val="24"/>
              </w:rPr>
              <w:t xml:space="preserve">Bitdeer Technologies Group </w:t>
            </w:r>
            <w:r>
              <w:rPr>
                <w:rFonts w:ascii="Times New Roman;Times;serif" w:hAnsi="Times New Roman;Times;serif"/>
                <w:sz w:val="24"/>
              </w:rPr>
              <w:t>(the “Company”);</w:t>
            </w:r>
          </w:p>
        </w:tc>
      </w:tr>
    </w:tbl>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2.</w:t>
            </w:r>
          </w:p>
        </w:tc>
        <w:tc>
          <w:tcPr>
            <w:tcW w:w="10023"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3"/>
        <w:gridCol w:w="162"/>
        <w:gridCol w:w="10020"/>
      </w:tblGrid>
      <w:tr>
        <w:trPr/>
        <w:tc>
          <w:tcPr>
            <w:tcW w:w="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3.</w:t>
            </w:r>
          </w:p>
        </w:tc>
        <w:tc>
          <w:tcPr>
            <w:tcW w:w="1002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CellMar>
          <w:top w:w="0" w:type="dxa"/>
          <w:left w:w="0" w:type="dxa"/>
          <w:bottom w:w="0" w:type="dxa"/>
          <w:right w:w="0" w:type="dxa"/>
        </w:tblCellMar>
      </w:tblPr>
      <w:tblGrid>
        <w:gridCol w:w="23"/>
        <w:gridCol w:w="167"/>
        <w:gridCol w:w="10015"/>
      </w:tblGrid>
      <w:tr>
        <w:trPr/>
        <w:tc>
          <w:tcPr>
            <w:tcW w:w="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4.</w:t>
            </w:r>
          </w:p>
        </w:tc>
        <w:tc>
          <w:tcPr>
            <w:tcW w:w="10015"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The Company’s other certifying officer and I are responsible for establishing and maintaining disclosure controls and procedures (as defined in Exchange Act Rules 13a-15(e) and 15d-15(e)) for the Company and have:</w:t>
            </w:r>
          </w:p>
        </w:tc>
      </w:tr>
    </w:tbl>
    <w:tbl>
      <w:tblPr>
        <w:tblW w:w="10205" w:type="dxa"/>
        <w:jc w:val="left"/>
        <w:tblInd w:w="0" w:type="dxa"/>
        <w:tblCellMar>
          <w:top w:w="0" w:type="dxa"/>
          <w:left w:w="0" w:type="dxa"/>
          <w:bottom w:w="0" w:type="dxa"/>
          <w:right w:w="0" w:type="dxa"/>
        </w:tblCellMar>
      </w:tblPr>
      <w:tblGrid>
        <w:gridCol w:w="23"/>
        <w:gridCol w:w="220"/>
        <w:gridCol w:w="9962"/>
      </w:tblGrid>
      <w:tr>
        <w:trPr/>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(a)</w:t>
            </w:r>
          </w:p>
        </w:tc>
        <w:tc>
          <w:tcPr>
            <w:tcW w:w="9962"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2478" w:type="dxa"/>
        <w:jc w:val="left"/>
        <w:tblInd w:w="0" w:type="dxa"/>
        <w:tblCellMar>
          <w:top w:w="0" w:type="dxa"/>
          <w:left w:w="0" w:type="dxa"/>
          <w:bottom w:w="0" w:type="dxa"/>
          <w:right w:w="0" w:type="dxa"/>
        </w:tblCellMar>
      </w:tblPr>
      <w:tblGrid>
        <w:gridCol w:w="23"/>
        <w:gridCol w:w="290"/>
        <w:gridCol w:w="216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(b)</w:t>
            </w:r>
          </w:p>
        </w:tc>
        <w:tc>
          <w:tcPr>
            <w:tcW w:w="2165"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[intentionally omitted];</w:t>
            </w:r>
          </w:p>
        </w:tc>
      </w:tr>
    </w:tbl>
    <w:tbl>
      <w:tblPr>
        <w:tblW w:w="10205" w:type="dxa"/>
        <w:jc w:val="left"/>
        <w:tblInd w:w="0" w:type="dxa"/>
        <w:tblCellMar>
          <w:top w:w="0" w:type="dxa"/>
          <w:left w:w="0" w:type="dxa"/>
          <w:bottom w:w="0" w:type="dxa"/>
          <w:right w:w="0" w:type="dxa"/>
        </w:tblCellMar>
      </w:tblPr>
      <w:tblGrid>
        <w:gridCol w:w="23"/>
        <w:gridCol w:w="226"/>
        <w:gridCol w:w="9956"/>
      </w:tblGrid>
      <w:tr>
        <w:trPr/>
        <w:tc>
          <w:tcPr>
            <w:tcW w:w="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(c)</w:t>
            </w:r>
          </w:p>
        </w:tc>
        <w:tc>
          <w:tcPr>
            <w:tcW w:w="9956"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(d)</w:t>
            </w:r>
          </w:p>
        </w:tc>
        <w:tc>
          <w:tcPr>
            <w:tcW w:w="9942"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CellMar>
          <w:top w:w="0" w:type="dxa"/>
          <w:left w:w="0" w:type="dxa"/>
          <w:bottom w:w="0" w:type="dxa"/>
          <w:right w:w="0" w:type="dxa"/>
        </w:tblCellMar>
      </w:tblPr>
      <w:tblGrid>
        <w:gridCol w:w="23"/>
        <w:gridCol w:w="161"/>
        <w:gridCol w:w="10021"/>
      </w:tblGrid>
      <w:tr>
        <w:trPr/>
        <w:tc>
          <w:tcPr>
            <w:tcW w:w="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5.</w:t>
            </w:r>
          </w:p>
        </w:tc>
        <w:tc>
          <w:tcPr>
            <w:tcW w:w="10021"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160"/>
        <w:ind w:left="0" w:right="0" w:hanging="0"/>
        <w:rPr/>
      </w:pPr>
      <w:r>
        <w:rPr/>
        <w:t>​</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8"/>
        <w:gridCol w:w="9954"/>
      </w:tblGrid>
      <w:tr>
        <w:trPr/>
        <w:tc>
          <w:tcPr>
            <w:tcW w:w="2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(a)</w:t>
            </w:r>
          </w:p>
        </w:tc>
        <w:tc>
          <w:tcPr>
            <w:tcW w:w="9954"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59"/>
        <w:gridCol w:w="9923"/>
      </w:tblGrid>
      <w:tr>
        <w:trPr/>
        <w:tc>
          <w:tcPr>
            <w:tcW w:w="2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4"/>
              </w:rPr>
              <w:t>(b)</w:t>
            </w:r>
          </w:p>
        </w:tc>
        <w:tc>
          <w:tcPr>
            <w:tcW w:w="9923"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4"/>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pPr>
      <w:r>
        <w:rPr/>
        <w:t>​</w:t>
      </w:r>
    </w:p>
    <w:tbl>
      <w:tblPr>
        <w:tblW w:w="4521" w:type="dxa"/>
        <w:jc w:val="center"/>
        <w:tblInd w:w="0" w:type="dxa"/>
        <w:tblCellMar>
          <w:top w:w="0" w:type="dxa"/>
          <w:left w:w="0" w:type="dxa"/>
          <w:bottom w:w="0" w:type="dxa"/>
          <w:right w:w="0" w:type="dxa"/>
        </w:tblCellMar>
      </w:tblPr>
      <w:tblGrid>
        <w:gridCol w:w="751"/>
        <w:gridCol w:w="3616"/>
        <w:gridCol w:w="154"/>
      </w:tblGrid>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36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April 28, 2023</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pPr>
            <w:r>
              <w:rPr/>
              <w:t>​</w:t>
            </w:r>
          </w:p>
        </w:tc>
        <w:tc>
          <w:tcPr>
            <w:tcW w:w="361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36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Linghui Kong</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36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Linghui Kong</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6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Director and Chief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049" w:name="btdr-20221231xex12d2.htm"/>
      <w:bookmarkStart w:id="2050" w:name="ksbtdr20221231xex12d2"/>
      <w:bookmarkEnd w:id="2049"/>
      <w:bookmarkEnd w:id="2050"/>
      <w:r>
        <w:rPr>
          <w:rFonts w:ascii="Times New Roman;Times;serif" w:hAnsi="Times New Roman;Times;serif"/>
          <w:b/>
          <w:sz w:val="24"/>
        </w:rPr>
        <w:t>Exhibit 12.2</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Certification by the Chief Financial Officer</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302 of the Sarbanes-Oxley Act of 2002</w:t>
      </w:r>
    </w:p>
    <w:p>
      <w:pPr>
        <w:pStyle w:val="TextBody"/>
        <w:spacing w:before="0" w:after="240"/>
        <w:ind w:left="0" w:right="0" w:hanging="0"/>
        <w:rPr>
          <w:rFonts w:ascii="Times New Roman;Times;serif" w:hAnsi="Times New Roman;Times;serif"/>
          <w:sz w:val="24"/>
        </w:rPr>
      </w:pPr>
      <w:r>
        <w:rPr>
          <w:rFonts w:ascii="Times New Roman;Times;serif" w:hAnsi="Times New Roman;Times;serif"/>
          <w:sz w:val="24"/>
        </w:rPr>
        <w:t>I, Huaxin Wen, certify that:</w:t>
      </w:r>
    </w:p>
    <w:tbl>
      <w:tblPr>
        <w:tblW w:w="9603" w:type="dxa"/>
        <w:jc w:val="left"/>
        <w:tblInd w:w="0" w:type="dxa"/>
        <w:tblCellMar>
          <w:top w:w="0" w:type="dxa"/>
          <w:left w:w="0" w:type="dxa"/>
          <w:bottom w:w="0" w:type="dxa"/>
          <w:right w:w="0" w:type="dxa"/>
        </w:tblCellMar>
      </w:tblPr>
      <w:tblGrid>
        <w:gridCol w:w="23"/>
        <w:gridCol w:w="200"/>
        <w:gridCol w:w="938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1.</w:t>
            </w:r>
          </w:p>
        </w:tc>
        <w:tc>
          <w:tcPr>
            <w:tcW w:w="938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I have reviewed this annual report on Form 20-F of Bitdeer Technologies Group (the “Company”);</w:t>
            </w:r>
          </w:p>
        </w:tc>
      </w:tr>
    </w:tbl>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2.</w:t>
            </w:r>
          </w:p>
        </w:tc>
        <w:tc>
          <w:tcPr>
            <w:tcW w:w="10023"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3"/>
        <w:gridCol w:w="162"/>
        <w:gridCol w:w="10020"/>
      </w:tblGrid>
      <w:tr>
        <w:trPr/>
        <w:tc>
          <w:tcPr>
            <w:tcW w:w="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3.</w:t>
            </w:r>
          </w:p>
        </w:tc>
        <w:tc>
          <w:tcPr>
            <w:tcW w:w="1002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CellMar>
          <w:top w:w="0" w:type="dxa"/>
          <w:left w:w="0" w:type="dxa"/>
          <w:bottom w:w="0" w:type="dxa"/>
          <w:right w:w="0" w:type="dxa"/>
        </w:tblCellMar>
      </w:tblPr>
      <w:tblGrid>
        <w:gridCol w:w="23"/>
        <w:gridCol w:w="167"/>
        <w:gridCol w:w="10015"/>
      </w:tblGrid>
      <w:tr>
        <w:trPr/>
        <w:tc>
          <w:tcPr>
            <w:tcW w:w="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4.</w:t>
            </w:r>
          </w:p>
        </w:tc>
        <w:tc>
          <w:tcPr>
            <w:tcW w:w="10015"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The Company’s other certifying officer and I are responsible for establishing and maintaining disclosure controls and procedures (as defined in Exchange Act Rules 13a-15(e) and 15d-15(e)) for the Company and have:</w:t>
            </w:r>
          </w:p>
        </w:tc>
      </w:tr>
    </w:tbl>
    <w:tbl>
      <w:tblPr>
        <w:tblW w:w="10205" w:type="dxa"/>
        <w:jc w:val="left"/>
        <w:tblInd w:w="0" w:type="dxa"/>
        <w:tblCellMar>
          <w:top w:w="0" w:type="dxa"/>
          <w:left w:w="0" w:type="dxa"/>
          <w:bottom w:w="0" w:type="dxa"/>
          <w:right w:w="0" w:type="dxa"/>
        </w:tblCellMar>
      </w:tblPr>
      <w:tblGrid>
        <w:gridCol w:w="23"/>
        <w:gridCol w:w="220"/>
        <w:gridCol w:w="9962"/>
      </w:tblGrid>
      <w:tr>
        <w:trPr/>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(a)</w:t>
            </w:r>
          </w:p>
        </w:tc>
        <w:tc>
          <w:tcPr>
            <w:tcW w:w="9962"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2478" w:type="dxa"/>
        <w:jc w:val="left"/>
        <w:tblInd w:w="0" w:type="dxa"/>
        <w:tblCellMar>
          <w:top w:w="0" w:type="dxa"/>
          <w:left w:w="0" w:type="dxa"/>
          <w:bottom w:w="0" w:type="dxa"/>
          <w:right w:w="0" w:type="dxa"/>
        </w:tblCellMar>
      </w:tblPr>
      <w:tblGrid>
        <w:gridCol w:w="23"/>
        <w:gridCol w:w="290"/>
        <w:gridCol w:w="216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(b)</w:t>
            </w:r>
          </w:p>
        </w:tc>
        <w:tc>
          <w:tcPr>
            <w:tcW w:w="2165"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[intentionally omitted];</w:t>
            </w:r>
          </w:p>
        </w:tc>
      </w:tr>
    </w:tbl>
    <w:tbl>
      <w:tblPr>
        <w:tblW w:w="10205" w:type="dxa"/>
        <w:jc w:val="left"/>
        <w:tblInd w:w="0" w:type="dxa"/>
        <w:tblCellMar>
          <w:top w:w="0" w:type="dxa"/>
          <w:left w:w="0" w:type="dxa"/>
          <w:bottom w:w="0" w:type="dxa"/>
          <w:right w:w="0" w:type="dxa"/>
        </w:tblCellMar>
      </w:tblPr>
      <w:tblGrid>
        <w:gridCol w:w="23"/>
        <w:gridCol w:w="226"/>
        <w:gridCol w:w="9956"/>
      </w:tblGrid>
      <w:tr>
        <w:trPr/>
        <w:tc>
          <w:tcPr>
            <w:tcW w:w="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(c)</w:t>
            </w:r>
          </w:p>
        </w:tc>
        <w:tc>
          <w:tcPr>
            <w:tcW w:w="9956"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(d)</w:t>
            </w:r>
          </w:p>
        </w:tc>
        <w:tc>
          <w:tcPr>
            <w:tcW w:w="9942"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CellMar>
          <w:top w:w="0" w:type="dxa"/>
          <w:left w:w="0" w:type="dxa"/>
          <w:bottom w:w="0" w:type="dxa"/>
          <w:right w:w="0" w:type="dxa"/>
        </w:tblCellMar>
      </w:tblPr>
      <w:tblGrid>
        <w:gridCol w:w="23"/>
        <w:gridCol w:w="161"/>
        <w:gridCol w:w="10021"/>
      </w:tblGrid>
      <w:tr>
        <w:trPr/>
        <w:tc>
          <w:tcPr>
            <w:tcW w:w="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5.</w:t>
            </w:r>
          </w:p>
        </w:tc>
        <w:tc>
          <w:tcPr>
            <w:tcW w:w="10021"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160"/>
        <w:ind w:left="0" w:right="0" w:hanging="0"/>
        <w:rPr/>
      </w:pPr>
      <w:r>
        <w:rPr/>
        <w:t>​</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8"/>
        <w:gridCol w:w="9954"/>
      </w:tblGrid>
      <w:tr>
        <w:trPr/>
        <w:tc>
          <w:tcPr>
            <w:tcW w:w="2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(a)</w:t>
            </w:r>
          </w:p>
        </w:tc>
        <w:tc>
          <w:tcPr>
            <w:tcW w:w="9954"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59"/>
        <w:gridCol w:w="9923"/>
      </w:tblGrid>
      <w:tr>
        <w:trPr/>
        <w:tc>
          <w:tcPr>
            <w:tcW w:w="2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4"/>
              </w:rPr>
              <w:t>(b)</w:t>
            </w:r>
          </w:p>
        </w:tc>
        <w:tc>
          <w:tcPr>
            <w:tcW w:w="9923"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4"/>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pPr>
      <w:r>
        <w:rPr/>
        <w:t>​</w:t>
      </w:r>
    </w:p>
    <w:tbl>
      <w:tblPr>
        <w:tblW w:w="3201" w:type="dxa"/>
        <w:jc w:val="center"/>
        <w:tblInd w:w="0" w:type="dxa"/>
        <w:tblCellMar>
          <w:top w:w="0" w:type="dxa"/>
          <w:left w:w="0" w:type="dxa"/>
          <w:bottom w:w="0" w:type="dxa"/>
          <w:right w:w="0" w:type="dxa"/>
        </w:tblCellMar>
      </w:tblPr>
      <w:tblGrid>
        <w:gridCol w:w="751"/>
        <w:gridCol w:w="2296"/>
        <w:gridCol w:w="154"/>
      </w:tblGrid>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April 28, 2023</w:t>
            </w:r>
          </w:p>
        </w:tc>
        <w:tc>
          <w:tcPr>
            <w:tcW w:w="154" w:type="dxa"/>
            <w:tcBorders/>
            <w:shd w:fill="auto" w:val="clear"/>
            <w:vAlign w:val="center"/>
          </w:tcPr>
          <w:p>
            <w:pPr>
              <w:pStyle w:val="TableContents"/>
              <w:spacing w:before="0" w:after="0"/>
              <w:ind w:left="0" w:right="0" w:hanging="0"/>
              <w:rPr/>
            </w:pPr>
            <w:r>
              <w:rPr/>
              <w:t>​</w:t>
            </w:r>
          </w:p>
        </w:tc>
      </w:tr>
      <w:tr>
        <w:trPr/>
        <w:tc>
          <w:tcPr>
            <w:tcW w:w="3047"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Huaxin Wen</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Huaxin Wen</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Chief Financial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051" w:name="btdr-20221231xex13d1.htm"/>
      <w:bookmarkStart w:id="2052" w:name="ksbtdr20221231xex13d1"/>
      <w:bookmarkEnd w:id="2051"/>
      <w:bookmarkEnd w:id="2052"/>
      <w:r>
        <w:rPr>
          <w:rFonts w:ascii="Times New Roman;Times;serif" w:hAnsi="Times New Roman;Times;serif"/>
          <w:b/>
          <w:sz w:val="24"/>
        </w:rPr>
        <w:t>Exhibit 13.1</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Certification by the Chief Executive Officer</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906 of the Sarbanes-Oxley Act of 2002</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In connection with the annual report of Bitdeer Technologies Group (the “Company”) on Form 20-F for the year ended December 31, 2022 as filed with the Securities and Exchange Commission on the date hereof (the “Report”), I, Linghui Kong, Director and Chief Executive Officer of the Company, certify, pursuant to 18 U.S.C. Section 1350, as adopted pursuant to Section 906 of the Sarbanes-Oxley Act of 2002, that to my knowledge: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The Report fully complies with the requirements of Section 13(a) or 15(d) of the Securities Exchange Act of 1934; and</w:t>
      </w:r>
    </w:p>
    <w:p>
      <w:pPr>
        <w:pStyle w:val="TextBody"/>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The information contained in the Report fairly presents, in all material respects, the financial condition and results of operations of the Company.</w:t>
      </w:r>
    </w:p>
    <w:p>
      <w:pPr>
        <w:pStyle w:val="TextBody"/>
        <w:spacing w:before="0" w:after="0"/>
        <w:ind w:left="0" w:right="0" w:hanging="0"/>
        <w:rPr/>
      </w:pPr>
      <w:r>
        <w:rPr/>
        <w:t>​</w:t>
      </w:r>
    </w:p>
    <w:tbl>
      <w:tblPr>
        <w:tblW w:w="4521" w:type="dxa"/>
        <w:jc w:val="center"/>
        <w:tblInd w:w="0" w:type="dxa"/>
        <w:tblCellMar>
          <w:top w:w="0" w:type="dxa"/>
          <w:left w:w="0" w:type="dxa"/>
          <w:bottom w:w="0" w:type="dxa"/>
          <w:right w:w="0" w:type="dxa"/>
        </w:tblCellMar>
      </w:tblPr>
      <w:tblGrid>
        <w:gridCol w:w="751"/>
        <w:gridCol w:w="3616"/>
        <w:gridCol w:w="154"/>
      </w:tblGrid>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36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April 28, 2023</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pPr>
            <w:r>
              <w:rPr/>
              <w:t>​</w:t>
            </w:r>
          </w:p>
        </w:tc>
        <w:tc>
          <w:tcPr>
            <w:tcW w:w="361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36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Linghui Kong</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36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Linghui Kong</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61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Director and Chief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2053" w:name="btdr-20221231xex13d2.htm"/>
      <w:bookmarkStart w:id="2054" w:name="ksbtdr20221231xex13d2"/>
      <w:bookmarkEnd w:id="2053"/>
      <w:bookmarkEnd w:id="2054"/>
      <w:r>
        <w:rPr>
          <w:rFonts w:ascii="Times New Roman;Times;serif" w:hAnsi="Times New Roman;Times;serif"/>
          <w:b/>
          <w:sz w:val="24"/>
        </w:rPr>
        <w:t>Exhibit 13.2</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Certification by the Chief Financial Officer</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906 of the Sarbanes-Oxley Act of 2002</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In connection with the annual report of Bitdeer Technologies Group (the “Company”) on Form 20-F for the year ended December 31, 2022 as filed with the Securities and Exchange Commission on the date hereof (the “Report”), I, Huaxin Wen, Chief Financial Officer of the Company, certify, pursuant to 18 U.S.C. Section 1350, as adopted pursuant to Section 906 of the Sarbanes-Oxley Act of 2002, that to my knowledge: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The Report fully complies with the requirements of Section 13(a) or 15(d) of the Securities Exchange Act of 1934; and</w:t>
      </w:r>
    </w:p>
    <w:p>
      <w:pPr>
        <w:pStyle w:val="TextBody"/>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The information contained in the Report fairly presents, in all material respects, the financial condition and results of operations of the Company.</w:t>
      </w:r>
    </w:p>
    <w:p>
      <w:pPr>
        <w:pStyle w:val="TextBody"/>
        <w:spacing w:before="0" w:after="0"/>
        <w:ind w:left="0" w:right="0" w:hanging="0"/>
        <w:rPr/>
      </w:pPr>
      <w:r>
        <w:rPr/>
        <w:t>​</w:t>
      </w:r>
    </w:p>
    <w:tbl>
      <w:tblPr>
        <w:tblW w:w="3201" w:type="dxa"/>
        <w:jc w:val="center"/>
        <w:tblInd w:w="0" w:type="dxa"/>
        <w:tblCellMar>
          <w:top w:w="0" w:type="dxa"/>
          <w:left w:w="0" w:type="dxa"/>
          <w:bottom w:w="0" w:type="dxa"/>
          <w:right w:w="0" w:type="dxa"/>
        </w:tblCellMar>
      </w:tblPr>
      <w:tblGrid>
        <w:gridCol w:w="751"/>
        <w:gridCol w:w="2296"/>
        <w:gridCol w:w="154"/>
      </w:tblGrid>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April 28, 2023</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Huaxin Wen</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29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Huaxin Wen</w:t>
            </w:r>
          </w:p>
        </w:tc>
        <w:tc>
          <w:tcPr>
            <w:tcW w:w="154"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Chief Financial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2055" w:name="btdr-20221231xex15d2.htm"/>
      <w:bookmarkStart w:id="2056" w:name="ksbtdr20221231xex15d2"/>
      <w:bookmarkEnd w:id="2055"/>
      <w:bookmarkEnd w:id="2056"/>
      <w:r>
        <w:rPr>
          <w:rFonts w:ascii="Times New Roman;Times;serif" w:hAnsi="Times New Roman;Times;serif"/>
          <w:b/>
          <w:sz w:val="24"/>
        </w:rPr>
        <w:t>Exhibit 15.2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INDEPENDENT REGISTERED PUBLIC ACCOUNTING FIRM’S CONSENT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We consent to the inclusion in this Registration Statement of Bitdeer Technologies Group on Form 20-F of our report dated March 3, 2023, which includes an explanatory paragraph as to the ability of Blue Safari Group Acquisition Corp. to continue as a going concern,  with respect to our audits of the consolidated financial statements of Blue Safari Group Acquisition Corp. as of December 31, 2022 and 2021 and for the year ended December 31, 2022 and for the period from February 23, 2021 (inception) through December 31, 2021, which report appears in the Prospectus, which is part of this Registration Statement.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/s/ Marcum LLP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Marcum LLP</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Houston, Texas</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April 27, 2023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99123/000110465923047181/tm237717d3_ex1-1.htm" TargetMode="External"/><Relationship Id="rId4" Type="http://schemas.openxmlformats.org/officeDocument/2006/relationships/hyperlink" Target="https://www.sec.gov/Archives/edgar/data/1899123/000110465923029896/tm2135137d43_ex4-1.htm" TargetMode="External"/><Relationship Id="rId5" Type="http://schemas.openxmlformats.org/officeDocument/2006/relationships/hyperlink" Target="https://www.sec.gov/Archives/edgar/data/1853084/000110465921150066/tm2135137d3_ex10-1.htm" TargetMode="External"/><Relationship Id="rId6" Type="http://schemas.openxmlformats.org/officeDocument/2006/relationships/hyperlink" Target="https://www.sec.gov/Archives/edgar/data/1899123/000110465923029896/tm2135137d43_ex10-3.htm" TargetMode="External"/><Relationship Id="rId7" Type="http://schemas.openxmlformats.org/officeDocument/2006/relationships/hyperlink" Target="https://www.sec.gov/Archives/edgar/data/1899123/000110465923029896/tm2135137d43_ex10-4.htm" TargetMode="External"/><Relationship Id="rId8" Type="http://schemas.openxmlformats.org/officeDocument/2006/relationships/hyperlink" Target="https://www.sec.gov/Archives/edgar/data/1899123/000110465923029896/tm2135137d43_ex10-5.htm" TargetMode="External"/><Relationship Id="rId9" Type="http://schemas.openxmlformats.org/officeDocument/2006/relationships/hyperlink" Target="https://www.sec.gov/Archives/edgar/data/1899123/000110465923029896/tm2135137d43_ex10-6.htm" TargetMode="External"/><Relationship Id="rId10" Type="http://schemas.openxmlformats.org/officeDocument/2006/relationships/hyperlink" Target="https://www.sec.gov/Archives/edgar/data/1899123/000110465923029896/tm2135137d43_ex10-7.htm" TargetMode="External"/><Relationship Id="rId11" Type="http://schemas.openxmlformats.org/officeDocument/2006/relationships/hyperlink" Target="https://www.sec.gov/Archives/edgar/data/1899123/000110465923029896/tm2135137d43_ex10-8.htm" TargetMode="External"/><Relationship Id="rId12" Type="http://schemas.openxmlformats.org/officeDocument/2006/relationships/hyperlink" Target="https://www.sec.gov/Archives/edgar/data/1899123/000110465923029896/tm2135137d43_ex10-9.htm" TargetMode="External"/><Relationship Id="rId13" Type="http://schemas.openxmlformats.org/officeDocument/2006/relationships/hyperlink" Target="https://www.sec.gov/Archives/edgar/data/1899123/000110465923029896/tm2135137d43_ex10-10.htm" TargetMode="External"/><Relationship Id="rId14" Type="http://schemas.openxmlformats.org/officeDocument/2006/relationships/hyperlink" Target="https://www.sec.gov/Archives/edgar/data/1899123/000110465923029896/tm2135137d43_ex10-11.htm" TargetMode="External"/><Relationship Id="rId15" Type="http://schemas.openxmlformats.org/officeDocument/2006/relationships/hyperlink" Target="https://www.sec.gov/Archives/edgar/data/1899123/000110465923047181/tm237717d3_ex4-16.htm" TargetMode="External"/><Relationship Id="rId16" Type="http://schemas.openxmlformats.org/officeDocument/2006/relationships/hyperlink" Target="https://www.sec.gov/Archives/edgar/data/1899123/000110465923029896/tm2135137d43_ex10-12.htm" TargetMode="External"/><Relationship Id="rId17" Type="http://schemas.openxmlformats.org/officeDocument/2006/relationships/hyperlink" Target="https://www.sec.gov/Archives/edgar/data/1899123/000110465923029896/tm2135137d43_ex10-13.htm" TargetMode="External"/><Relationship Id="rId18" Type="http://schemas.openxmlformats.org/officeDocument/2006/relationships/hyperlink" Target="https://www.sec.gov/Archives/edgar/data/1899123/000110465923029896/tm2135137d43_ex10-14.htm" TargetMode="External"/><Relationship Id="rId19" Type="http://schemas.openxmlformats.org/officeDocument/2006/relationships/hyperlink" Target="https://www.sec.gov/Archives/edgar/data/1899123/000110465923029896/tm2135137d43_ex10-15.htm" TargetMode="External"/><Relationship Id="rId20" Type="http://schemas.openxmlformats.org/officeDocument/2006/relationships/hyperlink" Target="https://www.sec.gov/Archives/edgar/data/1899123/000110465923029896/tm2135137d43_ex10-16.htm" TargetMode="External"/><Relationship Id="rId21" Type="http://schemas.openxmlformats.org/officeDocument/2006/relationships/hyperlink" Target="https://www.sec.gov/Archives/edgar/data/1899123/000110465923029896/tm2135137d43_ex10-17.htm" TargetMode="External"/><Relationship Id="rId22" Type="http://schemas.openxmlformats.org/officeDocument/2006/relationships/hyperlink" Target="https://www.sec.gov/Archives/edgar/data/1899123/000110465923029896/tm2135137d43_ex10-18.htm" TargetMode="External"/><Relationship Id="rId23" Type="http://schemas.openxmlformats.org/officeDocument/2006/relationships/hyperlink" Target="https://www.sec.gov/Archives/edgar/data/1899123/000110465923029896/tm2135137d43_ex10-19.htm" TargetMode="External"/><Relationship Id="rId24" Type="http://schemas.openxmlformats.org/officeDocument/2006/relationships/hyperlink" Target="https://www.sec.gov/Archives/edgar/data/1899123/000110465923029896/tm2135137d43_ex10-20.htm" TargetMode="External"/><Relationship Id="rId25" Type="http://schemas.openxmlformats.org/officeDocument/2006/relationships/hyperlink" Target="https://www.sec.gov/Archives/edgar/data/1899123/000110465923029896/tm2135137d43_ex10-21.htm" TargetMode="External"/><Relationship Id="rId26" Type="http://schemas.openxmlformats.org/officeDocument/2006/relationships/hyperlink" Target="https://www.sec.gov/Archives/edgar/data/1899123/000110465923029896/tm2135137d43_ex21-1.htm" TargetMode="External"/><Relationship Id="rId27" Type="http://schemas.openxmlformats.org/officeDocument/2006/relationships/hyperlink" Target="https://www.sec.gov/Archives/edgar/data/1899123/000110465923029896/tm2135137d43_ex99-2.htm" TargetMode="External"/><Relationship Id="rId28" Type="http://schemas.openxmlformats.org/officeDocument/2006/relationships/hyperlink" Target="https://www.sec.gov/Archives/edgar/data/1899123/000110465923047181/tm237717d3_ex15-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128409</Words>
  <CharactersWithSpaces>829229</CharactersWithSpaces>
  <Paragraphs>12210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