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brhc20053393_sc13g.htm"/>
      <w:bookmarkStart w:id="1" w:name="ksbrhc20053393_sc13g"/>
      <w:bookmarkStart w:id="2" w:name="brhc20053393_sc13g.htm"/>
      <w:bookmarkStart w:id="3" w:name="ksbrhc20053393_sc13g"/>
      <w:bookmarkEnd w:id="2"/>
      <w:bookmarkEnd w:id="3"/>
    </w:p>
    <w:p>
      <w:pPr>
        <w:pStyle w:val="TextBody"/>
        <w:bidi w:val="0"/>
        <w:spacing w:before="0" w:after="0"/>
        <w:jc w:val="center"/>
        <w:rPr>
          <w:b/>
          <w:sz w:val="28"/>
        </w:rPr>
      </w:pPr>
      <w:r>
        <w:rPr>
          <w:b/>
          <w:sz w:val="28"/>
        </w:rPr>
        <w:t>SECURITIES AND EXCHANGE COMMISSION</w:t>
      </w:r>
    </w:p>
    <w:p>
      <w:pPr>
        <w:pStyle w:val="TextBody"/>
        <w:bidi w:val="0"/>
        <w:spacing w:before="0" w:after="0"/>
        <w:jc w:val="center"/>
        <w:rPr>
          <w:b/>
          <w:sz w:val="24"/>
        </w:rPr>
      </w:pPr>
      <w:r>
        <w:rPr>
          <w:b/>
          <w:sz w:val="24"/>
        </w:rPr>
        <w:t>Washington, D.C. 20549</w:t>
      </w:r>
    </w:p>
    <w:p>
      <w:pPr>
        <w:pStyle w:val="TextBody"/>
        <w:bidi w:val="0"/>
        <w:spacing w:before="0" w:after="0"/>
        <w:jc w:val="left"/>
        <w:rPr/>
      </w:pPr>
      <w:r>
        <w:rPr/>
        <w:t> </w:t>
      </w:r>
    </w:p>
    <w:p>
      <w:pPr>
        <w:pStyle w:val="TextBody"/>
        <w:bidi w:val="0"/>
        <w:spacing w:before="0" w:after="0"/>
        <w:jc w:val="center"/>
        <w:rPr>
          <w:b/>
          <w:sz w:val="36"/>
        </w:rPr>
      </w:pPr>
      <w:r>
        <w:rPr>
          <w:b/>
          <w:sz w:val="36"/>
        </w:rPr>
        <w:t>SCHEDULE 13G</w:t>
      </w:r>
    </w:p>
    <w:p>
      <w:pPr>
        <w:pStyle w:val="TextBody"/>
        <w:bidi w:val="0"/>
        <w:spacing w:before="0" w:after="0"/>
        <w:jc w:val="center"/>
        <w:rPr>
          <w:b/>
        </w:rPr>
      </w:pPr>
      <w:r>
        <w:rPr>
          <w:b/>
        </w:rPr>
        <w:t>(Rule 13d-102)</w:t>
      </w:r>
    </w:p>
    <w:p>
      <w:pPr>
        <w:pStyle w:val="TextBody"/>
        <w:bidi w:val="0"/>
        <w:spacing w:before="0" w:after="0"/>
        <w:jc w:val="left"/>
        <w:rPr/>
      </w:pPr>
      <w:r>
        <w:rPr/>
        <w:t> </w:t>
      </w:r>
    </w:p>
    <w:p>
      <w:pPr>
        <w:pStyle w:val="TextBody"/>
        <w:bidi w:val="0"/>
        <w:spacing w:before="0" w:after="0"/>
        <w:jc w:val="center"/>
        <w:rPr>
          <w:b/>
        </w:rPr>
      </w:pPr>
      <w:r>
        <w:rPr>
          <w:b/>
        </w:rPr>
        <w:t>UNDER THE SECURITIES EXCHANGE ACT OF 1934</w:t>
      </w:r>
    </w:p>
    <w:p>
      <w:pPr>
        <w:pStyle w:val="TextBody"/>
        <w:bidi w:val="0"/>
        <w:spacing w:before="0" w:after="0"/>
        <w:jc w:val="left"/>
        <w:rPr/>
      </w:pPr>
      <w:r>
        <w:rPr/>
        <w:t> </w:t>
      </w:r>
    </w:p>
    <w:p>
      <w:pPr>
        <w:pStyle w:val="TextBody"/>
        <w:bidi w:val="0"/>
        <w:spacing w:before="0" w:after="0"/>
        <w:jc w:val="center"/>
        <w:rPr>
          <w:b/>
          <w:sz w:val="48"/>
        </w:rPr>
      </w:pPr>
      <w:r>
        <w:rPr>
          <w:b/>
          <w:sz w:val="48"/>
        </w:rPr>
        <w:t>Bitdeer Technologies Group</w:t>
      </w:r>
    </w:p>
    <w:p>
      <w:pPr>
        <w:pStyle w:val="TextBody"/>
        <w:bidi w:val="0"/>
        <w:spacing w:before="0" w:after="0"/>
        <w:jc w:val="left"/>
        <w:rPr/>
      </w:pPr>
      <w:r>
        <w:rPr/>
        <w:t> </w:t>
      </w:r>
    </w:p>
    <w:p>
      <w:pPr>
        <w:pStyle w:val="TextBody"/>
        <w:bidi w:val="0"/>
        <w:spacing w:before="0" w:after="0"/>
        <w:jc w:val="center"/>
        <w:rPr/>
      </w:pPr>
      <w:r>
        <w:rPr/>
        <w:t>(Name of Issuer)</w:t>
      </w:r>
    </w:p>
    <w:p>
      <w:pPr>
        <w:pStyle w:val="TextBody"/>
        <w:bidi w:val="0"/>
        <w:spacing w:before="0" w:after="0"/>
        <w:jc w:val="left"/>
        <w:rPr/>
      </w:pPr>
      <w:r>
        <w:rPr/>
        <w:t> </w:t>
      </w:r>
    </w:p>
    <w:p>
      <w:pPr>
        <w:pStyle w:val="TextBody"/>
        <w:bidi w:val="0"/>
        <w:spacing w:before="0" w:after="0"/>
        <w:jc w:val="center"/>
        <w:rPr>
          <w:b/>
        </w:rPr>
      </w:pPr>
      <w:r>
        <w:rPr>
          <w:b/>
        </w:rPr>
        <w:t>Class A ordinary shares, par value $0.0000001 per share</w:t>
      </w:r>
    </w:p>
    <w:p>
      <w:pPr>
        <w:pStyle w:val="TextBody"/>
        <w:bidi w:val="0"/>
        <w:spacing w:before="0" w:after="0"/>
        <w:jc w:val="center"/>
        <w:rPr/>
      </w:pPr>
      <w:r>
        <w:rPr/>
        <w:t>(Title of Class of Securities)</w:t>
      </w:r>
    </w:p>
    <w:p>
      <w:pPr>
        <w:pStyle w:val="TextBody"/>
        <w:bidi w:val="0"/>
        <w:spacing w:before="0" w:after="0"/>
        <w:jc w:val="left"/>
        <w:rPr/>
      </w:pPr>
      <w:r>
        <w:rPr/>
        <w:t> </w:t>
      </w:r>
    </w:p>
    <w:p>
      <w:pPr>
        <w:pStyle w:val="TextBody"/>
        <w:bidi w:val="0"/>
        <w:spacing w:before="0" w:after="0"/>
        <w:jc w:val="center"/>
        <w:rPr>
          <w:b/>
        </w:rPr>
      </w:pPr>
      <w:r>
        <w:rPr>
          <w:b/>
        </w:rPr>
        <w:t>G11448100</w:t>
      </w:r>
    </w:p>
    <w:p>
      <w:pPr>
        <w:pStyle w:val="TextBody"/>
        <w:bidi w:val="0"/>
        <w:spacing w:before="0" w:after="0"/>
        <w:jc w:val="center"/>
        <w:rPr/>
      </w:pPr>
      <w:r>
        <w:rPr/>
        <w:t>(CUSIP Number)</w:t>
      </w:r>
    </w:p>
    <w:p>
      <w:pPr>
        <w:pStyle w:val="TextBody"/>
        <w:bidi w:val="0"/>
        <w:spacing w:before="0" w:after="0"/>
        <w:jc w:val="left"/>
        <w:rPr/>
      </w:pPr>
      <w:r>
        <w:rPr/>
        <w:t> </w:t>
      </w:r>
    </w:p>
    <w:p>
      <w:pPr>
        <w:pStyle w:val="TextBody"/>
        <w:bidi w:val="0"/>
        <w:spacing w:before="0" w:after="0"/>
        <w:jc w:val="center"/>
        <w:rPr>
          <w:b/>
        </w:rPr>
      </w:pPr>
      <w:r>
        <w:rPr>
          <w:b/>
        </w:rPr>
        <w:t>April 13, 2023</w:t>
      </w:r>
    </w:p>
    <w:p>
      <w:pPr>
        <w:pStyle w:val="TextBody"/>
        <w:bidi w:val="0"/>
        <w:spacing w:before="0" w:after="0"/>
        <w:jc w:val="center"/>
        <w:rPr/>
      </w:pPr>
      <w:r>
        <w:rPr/>
        <w:t>(Date of Event Which Requires Filing of this Statement)</w:t>
      </w:r>
    </w:p>
    <w:p>
      <w:pPr>
        <w:pStyle w:val="TextBody"/>
        <w:bidi w:val="0"/>
        <w:spacing w:before="0" w:after="0"/>
        <w:jc w:val="left"/>
        <w:rPr/>
      </w:pPr>
      <w:r>
        <w:rPr/>
        <w:t> </w:t>
      </w:r>
    </w:p>
    <w:p>
      <w:pPr>
        <w:pStyle w:val="TextBody"/>
        <w:bidi w:val="0"/>
        <w:spacing w:before="0" w:after="0"/>
        <w:jc w:val="left"/>
        <w:rPr/>
      </w:pPr>
      <w:r>
        <w:rPr/>
        <w:t>Check the appropriate box to designate the rule pursuant to which this Schedule is filed:</w:t>
      </w:r>
    </w:p>
    <w:p>
      <w:pPr>
        <w:pStyle w:val="Normal"/>
        <w:bidi w:val="0"/>
        <w:spacing w:before="0" w:after="0"/>
        <w:jc w:val="left"/>
        <w:rPr>
          <w:sz w:val="4"/>
          <w:szCs w:val="4"/>
        </w:rPr>
      </w:pPr>
      <w:r>
        <w:rPr>
          <w:sz w:val="4"/>
          <w:szCs w:val="4"/>
        </w:rPr>
      </w:r>
      <w:bookmarkStart w:id="4" w:name="z29f31eadf0534811b17952de5de69b57"/>
      <w:bookmarkStart w:id="5" w:name="z29f31eadf0534811b17952de5de69b57"/>
      <w:bookmarkEnd w:id="5"/>
    </w:p>
    <w:tbl>
      <w:tblPr>
        <w:tblW w:w="1675" w:type="dxa"/>
        <w:jc w:val="left"/>
        <w:tblInd w:w="0" w:type="dxa"/>
        <w:tblLayout w:type="fixed"/>
        <w:tblCellMar>
          <w:top w:w="0" w:type="dxa"/>
          <w:left w:w="0" w:type="dxa"/>
          <w:bottom w:w="0" w:type="dxa"/>
          <w:right w:w="0" w:type="dxa"/>
        </w:tblCellMar>
      </w:tblPr>
      <w:tblGrid>
        <w:gridCol w:w="75"/>
        <w:gridCol w:w="230"/>
        <w:gridCol w:w="13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pPr>
            <w:r>
              <w:rPr/>
              <w:t>Rule 13d-1(b)</w:t>
            </w:r>
          </w:p>
        </w:tc>
      </w:tr>
    </w:tbl>
    <w:p>
      <w:pPr>
        <w:pStyle w:val="Normal"/>
        <w:bidi w:val="0"/>
        <w:spacing w:before="0" w:after="0"/>
        <w:jc w:val="left"/>
        <w:rPr>
          <w:sz w:val="4"/>
          <w:szCs w:val="4"/>
        </w:rPr>
      </w:pPr>
      <w:r>
        <w:rPr>
          <w:sz w:val="4"/>
          <w:szCs w:val="4"/>
        </w:rPr>
      </w:r>
      <w:bookmarkStart w:id="6" w:name="za891ca60d56c4c06889cb89b6e9ffc47"/>
      <w:bookmarkStart w:id="7" w:name="za891ca60d56c4c06889cb89b6e9ffc47"/>
      <w:bookmarkEnd w:id="7"/>
    </w:p>
    <w:tbl>
      <w:tblPr>
        <w:tblW w:w="1660" w:type="dxa"/>
        <w:jc w:val="left"/>
        <w:tblInd w:w="0" w:type="dxa"/>
        <w:tblLayout w:type="fixed"/>
        <w:tblCellMar>
          <w:top w:w="0" w:type="dxa"/>
          <w:left w:w="0" w:type="dxa"/>
          <w:bottom w:w="0" w:type="dxa"/>
          <w:right w:w="0" w:type="dxa"/>
        </w:tblCellMar>
      </w:tblPr>
      <w:tblGrid>
        <w:gridCol w:w="75"/>
        <w:gridCol w:w="230"/>
        <w:gridCol w:w="13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pPr>
            <w:r>
              <w:rPr/>
              <w:t>Rule 13d-1(c)</w:t>
            </w:r>
          </w:p>
        </w:tc>
      </w:tr>
    </w:tbl>
    <w:p>
      <w:pPr>
        <w:pStyle w:val="Normal"/>
        <w:bidi w:val="0"/>
        <w:spacing w:before="0" w:after="0"/>
        <w:jc w:val="left"/>
        <w:rPr>
          <w:sz w:val="4"/>
          <w:szCs w:val="4"/>
        </w:rPr>
      </w:pPr>
      <w:r>
        <w:rPr>
          <w:sz w:val="4"/>
          <w:szCs w:val="4"/>
        </w:rPr>
      </w:r>
      <w:bookmarkStart w:id="8" w:name="z6f6cf38ec9e34121999e468c9ae72ea6"/>
      <w:bookmarkStart w:id="9" w:name="z6f6cf38ec9e34121999e468c9ae72ea6"/>
      <w:bookmarkEnd w:id="9"/>
    </w:p>
    <w:tbl>
      <w:tblPr>
        <w:tblW w:w="1675" w:type="dxa"/>
        <w:jc w:val="left"/>
        <w:tblInd w:w="0" w:type="dxa"/>
        <w:tblLayout w:type="fixed"/>
        <w:tblCellMar>
          <w:top w:w="0" w:type="dxa"/>
          <w:left w:w="0" w:type="dxa"/>
          <w:bottom w:w="0" w:type="dxa"/>
          <w:right w:w="0" w:type="dxa"/>
        </w:tblCellMar>
      </w:tblPr>
      <w:tblGrid>
        <w:gridCol w:w="75"/>
        <w:gridCol w:w="230"/>
        <w:gridCol w:w="13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pPr>
            <w:r>
              <w:rPr/>
              <w:t>Rule 13d-1(d)</w:t>
            </w:r>
          </w:p>
        </w:tc>
      </w:tr>
    </w:tbl>
    <w:p>
      <w:pPr>
        <w:pStyle w:val="TextBody"/>
        <w:bidi w:val="0"/>
        <w:spacing w:before="0" w:after="0"/>
        <w:jc w:val="left"/>
        <w:rPr/>
      </w:pPr>
      <w:r>
        <w:rPr/>
        <w:t> </w:t>
      </w:r>
    </w:p>
    <w:p>
      <w:pPr>
        <w:pStyle w:val="TextBody"/>
        <w:bidi w:val="0"/>
        <w:spacing w:before="0" w:after="0"/>
        <w:jc w:val="left"/>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jc w:val="left"/>
        <w:rPr/>
      </w:pPr>
      <w:r>
        <w:rPr/>
        <w:t> </w:t>
      </w:r>
    </w:p>
    <w:p>
      <w:pPr>
        <w:pStyle w:val="TextBody"/>
        <w:bidi w:val="0"/>
        <w:spacing w:before="0" w:after="0"/>
        <w:jc w:val="left"/>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619"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120"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121"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sz w:val="20"/>
              </w:rPr>
            </w:pPr>
            <w:r>
              <w:rPr>
                <w:sz w:val="20"/>
              </w:rPr>
              <w:t>Golden Navigate Investments Limited</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pPr>
            <w:r>
              <w:rPr/>
              <w:t>(a)☐</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tcBorders>
              <w:left w:val="single" w:sz="8" w:space="0" w:color="000000"/>
              <w:bottom w:val="single" w:sz="8" w:space="0" w:color="000000"/>
            </w:tcBorders>
            <w:tcMar>
              <w:top w:w="0" w:type="dxa"/>
            </w:tcMar>
            <w:vAlign w:val="center"/>
          </w:tcPr>
          <w:p>
            <w:pPr>
              <w:pStyle w:val="TableContents"/>
              <w:bidi w:val="0"/>
              <w:spacing w:before="0" w:after="0"/>
              <w:jc w:val="left"/>
              <w:rPr/>
            </w:pPr>
            <w:r>
              <w:rPr/>
              <w:t>(b)☐</w:t>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120"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sz w:val="20"/>
              </w:rPr>
            </w:pPr>
            <w:r>
              <w:rPr>
                <w:sz w:val="20"/>
              </w:rPr>
              <w:t>British Virgin Islands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sz w:val="20"/>
              </w:rPr>
            </w:pPr>
            <w:r>
              <w:rPr>
                <w:sz w:val="20"/>
              </w:rPr>
              <w:t>10,214,395 class A ordinary shares (1)</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sz w:val="20"/>
              </w:rPr>
            </w:pPr>
            <w:r>
              <w:rPr>
                <w:sz w:val="20"/>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sz w:val="20"/>
              </w:rPr>
            </w:pPr>
            <w:r>
              <w:rPr>
                <w:sz w:val="20"/>
              </w:rPr>
              <w:t>10,214,395 class A ordinary shares (1)</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sz w:val="20"/>
              </w:rPr>
            </w:pPr>
            <w:r>
              <w:rPr>
                <w:sz w:val="20"/>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sz w:val="20"/>
              </w:rPr>
            </w:pPr>
            <w:r>
              <w:rPr>
                <w:sz w:val="20"/>
              </w:rPr>
              <w:t>10,214,395 class A ordinary shares (1)</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IF THE AGGREGATE AMOUNT IN ROW (9) EXCLUDES CERTAIN SHARES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sz w:val="20"/>
              </w:rPr>
            </w:pPr>
            <w:r>
              <w:rPr>
                <w:sz w:val="20"/>
              </w:rPr>
              <w:t>16.2% of class A ordinary shares (8.7% of ordinary shares) (2)</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sz w:val="20"/>
              </w:rPr>
            </w:pPr>
            <w:r>
              <w:rPr>
                <w:sz w:val="20"/>
              </w:rPr>
              <w:t>CO</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10" w:name="z36901b34fdbd4ee0b60ff58c9605282d"/>
      <w:bookmarkStart w:id="11" w:name="z36901b34fdbd4ee0b60ff58c9605282d"/>
      <w:bookmarkEnd w:id="11"/>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both"/>
              <w:rPr/>
            </w:pPr>
            <w:r>
              <w:rPr/>
              <w:t>Represents 10,214,395 class A ordinary shares, par value US$0.0000001 per share, directly held by Golden Navigate Investments Limited (“Golden Navigate”). Golden Navigate is a British Virgin Islands company wholly owned by Blessing Surplus Limited, a company incorporated in the British Virgin Islands, which is wholly owned and managed by VISTRA Trust (Hong Kong) Limited as trustee (the “Trustee”) of The Zizai Trust, a Hong Kong reserved powers trust (the “Trust”). Mr. Yishuo Hu is the settlor of the Trust and Mr. Hu and his family members are the beneficiaries of the Trust. Under the terms of the Trust, Mr. Hu has the power to direct the Trustee with respect to the retention or disposal of, and the exercise of any voting and other rights attached to the shares held by Golden Navigate in the Issuer.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2" w:name="z25f1bd2aa0084091b4f587ce2025f22b"/>
      <w:bookmarkStart w:id="13" w:name="z25f1bd2aa0084091b4f587ce2025f22b"/>
      <w:bookmarkEnd w:id="13"/>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0"/>
              <w:jc w:val="both"/>
              <w:rPr/>
            </w:pPr>
            <w:r>
              <w:rPr/>
              <w:t>Calculation is based on a total of 111,288,605 ordinary shares of the Issuer outstanding as of April 13, 2023, including 62,888,683 class A ordinary shares and 48,399,922 class V ordinary shares.</w:t>
            </w:r>
          </w:p>
        </w:tc>
      </w:tr>
    </w:tbl>
    <w:p>
      <w:pPr>
        <w:pStyle w:val="TextBody"/>
        <w:bidi w:val="0"/>
        <w:spacing w:before="0" w:after="0"/>
        <w:jc w:val="left"/>
        <w:rPr/>
      </w:pPr>
      <w:r>
        <w:rPr/>
        <w:t> </w:t>
      </w:r>
    </w:p>
    <w:p>
      <w:pPr>
        <w:pStyle w:val="TextBody"/>
        <w:bidi w:val="0"/>
        <w:spacing w:before="200" w:after="200"/>
        <w:jc w:val="center"/>
        <w:rPr>
          <w:b w:val="false"/>
          <w:i w:val="false"/>
          <w:caps w:val="false"/>
          <w:smallCaps w:val="false"/>
          <w:sz w:val="16"/>
        </w:rPr>
      </w:pPr>
      <w:r>
        <w:rPr>
          <w:b w:val="false"/>
          <w:i w:val="false"/>
          <w:caps w:val="false"/>
          <w:smallCaps w:val="false"/>
          <w:sz w:val="16"/>
        </w:rPr>
        <w:t>2</w:t>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619"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120"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121"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sz w:val="20"/>
              </w:rPr>
            </w:pPr>
            <w:r>
              <w:rPr>
                <w:sz w:val="20"/>
              </w:rPr>
              <w:t>Yishuo Hu</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pPr>
            <w:r>
              <w:rPr/>
              <w:t>(a)☐</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tcBorders>
              <w:left w:val="single" w:sz="8" w:space="0" w:color="000000"/>
              <w:bottom w:val="single" w:sz="8" w:space="0" w:color="000000"/>
            </w:tcBorders>
            <w:tcMar>
              <w:top w:w="0" w:type="dxa"/>
            </w:tcMar>
            <w:vAlign w:val="center"/>
          </w:tcPr>
          <w:p>
            <w:pPr>
              <w:pStyle w:val="TableContents"/>
              <w:bidi w:val="0"/>
              <w:spacing w:before="0" w:after="0"/>
              <w:jc w:val="left"/>
              <w:rPr/>
            </w:pPr>
            <w:r>
              <w:rPr/>
              <w:t>(b)☐</w:t>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120"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sz w:val="20"/>
              </w:rPr>
            </w:pPr>
            <w:r>
              <w:rPr>
                <w:sz w:val="20"/>
              </w:rPr>
              <w:t>Chinese</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sz w:val="20"/>
              </w:rPr>
            </w:pPr>
            <w:r>
              <w:rPr>
                <w:sz w:val="20"/>
              </w:rPr>
              <w:t>10,214,395 class A ordinary shares (3)</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sz w:val="20"/>
              </w:rPr>
            </w:pPr>
            <w:r>
              <w:rPr>
                <w:sz w:val="20"/>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sz w:val="20"/>
              </w:rPr>
            </w:pPr>
            <w:r>
              <w:rPr>
                <w:sz w:val="20"/>
              </w:rPr>
              <w:t>10,214,395 class A ordinary shares (3)</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sz w:val="20"/>
              </w:rPr>
            </w:pPr>
            <w:r>
              <w:rPr>
                <w:sz w:val="20"/>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sz w:val="20"/>
              </w:rPr>
            </w:pPr>
            <w:r>
              <w:rPr>
                <w:sz w:val="20"/>
              </w:rPr>
              <w:t>10,214,395 class A ordinary shares (3)</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IF THE AGGREGATE AMOUNT IN ROW (9) EXCLUDES CERTAIN SHARES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sz w:val="20"/>
              </w:rPr>
            </w:pPr>
            <w:r>
              <w:rPr>
                <w:sz w:val="20"/>
              </w:rPr>
              <w:t>16.2% of class A ordinary shares (8.7% of ordinary shares) (4)</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sz w:val="20"/>
              </w:rPr>
            </w:pPr>
            <w:r>
              <w:rPr>
                <w:sz w:val="20"/>
              </w:rPr>
              <w:t>IN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14" w:name="zfc8c3c31336f4c19bc27050ae3fa524c"/>
      <w:bookmarkStart w:id="15" w:name="zfc8c3c31336f4c19bc27050ae3fa524c"/>
      <w:bookmarkEnd w:id="15"/>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both"/>
              <w:rPr/>
            </w:pPr>
            <w:r>
              <w:rPr/>
              <w:t>Represents 10,214,395 class A ordinary shares, par value US$0.0000001 per share, directly held by Golden Navigate Investments Limited (“Golden Navigate”). Golden Navigate is a British Virgin Islands company wholly owned by Blessing Surplus Limited, a company incorporated in the British Virgin Islands, which is wholly owned and managed by VISTRA Trust (Hong Kong) Limited as trustee (the “Trustee”) of The Zizai Trust, a Hong Kong reserved powers trust (the “Trust”). Mr. Yishuo Hu is the settlor of the Trust and Mr. Hu and his family members are the beneficiaries of the Trust. Under the terms of the Trust, Mr. Hu has the power to direct the Trustee with respect to the retention or disposal of, and the exercise of any voting and other rights attached to the shares held by Golden Navigate in the Issuer.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 w:name="z16d952107cf5463b87e66bfd0f220229"/>
      <w:bookmarkStart w:id="17" w:name="z16d952107cf5463b87e66bfd0f220229"/>
      <w:bookmarkEnd w:id="17"/>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0"/>
              <w:jc w:val="both"/>
              <w:rPr/>
            </w:pPr>
            <w:r>
              <w:rPr/>
              <w:t>Calculation is based on a total of 111,288,605 ordinary shares of the Issuer outstanding as of April 13, 2023, including 62,888,683 class A ordinary shares and 48,399,922 class V ordinary shares.</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sz w:val="16"/>
        </w:rPr>
      </w:pPr>
      <w:r>
        <w:rPr>
          <w:b w:val="false"/>
          <w:i w:val="false"/>
          <w:caps w:val="false"/>
          <w:smallCaps w:val="false"/>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 w:name="z075360f8d9e7491d8ac7c1c7d9bdf90f"/>
      <w:bookmarkStart w:id="19" w:name="z075360f8d9e7491d8ac7c1c7d9bdf90f"/>
      <w:bookmarkEnd w:id="19"/>
    </w:p>
    <w:tbl>
      <w:tblPr>
        <w:tblW w:w="10205" w:type="dxa"/>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0"/>
              <w:jc w:val="left"/>
              <w:rPr>
                <w:b/>
              </w:rPr>
            </w:pPr>
            <w:r>
              <w:rPr>
                <w:b/>
              </w:rPr>
              <w:t>Item 1(a).</w:t>
            </w:r>
          </w:p>
        </w:tc>
        <w:tc>
          <w:tcPr>
            <w:tcW w:w="9289" w:type="dxa"/>
            <w:tcBorders>
              <w:bottom w:val="single" w:sz="12" w:space="0" w:color="000000"/>
            </w:tcBorders>
            <w:tcMar>
              <w:bottom w:w="28" w:type="dxa"/>
            </w:tcMar>
            <w:vAlign w:val="center"/>
          </w:tcPr>
          <w:p>
            <w:pPr>
              <w:pStyle w:val="TableContents"/>
              <w:bidi w:val="0"/>
              <w:spacing w:before="0" w:after="0"/>
              <w:jc w:val="left"/>
              <w:rPr/>
            </w:pPr>
            <w:r>
              <w:rPr>
                <w:b/>
              </w:rPr>
              <w:t>Name of Issuer:</w:t>
            </w:r>
            <w:r>
              <w:rPr/>
              <w:br/>
              <w:t>Bitdeer Technologies Group (the “Issuer”)</w:t>
            </w:r>
          </w:p>
        </w:tc>
      </w:tr>
      <w:tr>
        <w:trPr/>
        <w:tc>
          <w:tcPr>
            <w:tcW w:w="916" w:type="dxa"/>
            <w:tcBorders/>
            <w:vAlign w:val="center"/>
          </w:tcPr>
          <w:p>
            <w:pPr>
              <w:pStyle w:val="TableContents"/>
              <w:bidi w:val="0"/>
              <w:spacing w:before="0" w:after="0"/>
              <w:jc w:val="left"/>
              <w:rPr>
                <w:b/>
              </w:rPr>
            </w:pPr>
            <w:r>
              <w:rPr>
                <w:b/>
              </w:rPr>
              <w:t>Item 1(b).</w:t>
            </w:r>
          </w:p>
        </w:tc>
        <w:tc>
          <w:tcPr>
            <w:tcW w:w="9289" w:type="dxa"/>
            <w:tcBorders>
              <w:bottom w:val="single" w:sz="12" w:space="0" w:color="000000"/>
            </w:tcBorders>
            <w:tcMar>
              <w:bottom w:w="28" w:type="dxa"/>
            </w:tcMar>
            <w:vAlign w:val="center"/>
          </w:tcPr>
          <w:p>
            <w:pPr>
              <w:pStyle w:val="TableContents"/>
              <w:bidi w:val="0"/>
              <w:spacing w:before="0" w:after="0"/>
              <w:jc w:val="left"/>
              <w:rPr/>
            </w:pPr>
            <w:r>
              <w:rPr>
                <w:b/>
              </w:rPr>
              <w:t>Address of Issuer’s Principal Executive Offices:</w:t>
            </w:r>
            <w:r>
              <w:rPr/>
              <w:br/>
              <w:t>08 Kallang Avenue</w:t>
            </w:r>
          </w:p>
          <w:p>
            <w:pPr>
              <w:pStyle w:val="TableContents"/>
              <w:bidi w:val="0"/>
              <w:spacing w:before="0" w:after="0"/>
              <w:jc w:val="left"/>
              <w:rPr/>
            </w:pPr>
            <w:r>
              <w:rPr/>
              <w:t>Aperia tower 1, #09-03/04</w:t>
            </w:r>
          </w:p>
          <w:p>
            <w:pPr>
              <w:pStyle w:val="TableContents"/>
              <w:bidi w:val="0"/>
              <w:spacing w:before="0" w:after="0"/>
              <w:jc w:val="left"/>
              <w:rPr/>
            </w:pPr>
            <w:r>
              <w:rPr/>
              <w:t>Singapore 339509</w:t>
            </w:r>
          </w:p>
        </w:tc>
      </w:tr>
      <w:tr>
        <w:trPr/>
        <w:tc>
          <w:tcPr>
            <w:tcW w:w="916" w:type="dxa"/>
            <w:tcBorders/>
            <w:vAlign w:val="center"/>
          </w:tcPr>
          <w:p>
            <w:pPr>
              <w:pStyle w:val="TableContents"/>
              <w:bidi w:val="0"/>
              <w:spacing w:before="0" w:after="0"/>
              <w:jc w:val="left"/>
              <w:rPr>
                <w:b/>
              </w:rPr>
            </w:pPr>
            <w:r>
              <w:rPr>
                <w:b/>
              </w:rPr>
              <w:t>Item 2(a).</w:t>
            </w:r>
          </w:p>
        </w:tc>
        <w:tc>
          <w:tcPr>
            <w:tcW w:w="9289" w:type="dxa"/>
            <w:tcBorders>
              <w:bottom w:val="single" w:sz="12" w:space="0" w:color="000000"/>
            </w:tcBorders>
            <w:tcMar>
              <w:bottom w:w="28" w:type="dxa"/>
            </w:tcMar>
            <w:vAlign w:val="center"/>
          </w:tcPr>
          <w:p>
            <w:pPr>
              <w:pStyle w:val="TableContents"/>
              <w:bidi w:val="0"/>
              <w:spacing w:before="0" w:after="0"/>
              <w:jc w:val="left"/>
              <w:rPr/>
            </w:pPr>
            <w:r>
              <w:rPr>
                <w:b/>
              </w:rPr>
              <w:t>Name of Person Filing:</w:t>
            </w:r>
            <w:r>
              <w:rPr/>
              <w:br/>
              <w:t>(i) Golden Navigate Investments Limited, and</w:t>
            </w:r>
          </w:p>
          <w:p>
            <w:pPr>
              <w:pStyle w:val="TableContents"/>
              <w:bidi w:val="0"/>
              <w:spacing w:before="0" w:after="0"/>
              <w:jc w:val="left"/>
              <w:rPr/>
            </w:pPr>
            <w:r>
              <w:rPr/>
              <w:t>(ii) Yishuo Hu</w:t>
            </w:r>
          </w:p>
          <w:p>
            <w:pPr>
              <w:pStyle w:val="TableContents"/>
              <w:bidi w:val="0"/>
              <w:spacing w:before="0" w:after="0"/>
              <w:jc w:val="left"/>
              <w:rPr/>
            </w:pPr>
            <w:r>
              <w:rPr/>
              <w:t>(collectively, the “Reporting Persons”).</w:t>
            </w:r>
          </w:p>
        </w:tc>
      </w:tr>
      <w:tr>
        <w:trPr/>
        <w:tc>
          <w:tcPr>
            <w:tcW w:w="916" w:type="dxa"/>
            <w:tcBorders/>
            <w:vAlign w:val="center"/>
          </w:tcPr>
          <w:p>
            <w:pPr>
              <w:pStyle w:val="TableContents"/>
              <w:bidi w:val="0"/>
              <w:spacing w:before="0" w:after="0"/>
              <w:jc w:val="left"/>
              <w:rPr>
                <w:b/>
              </w:rPr>
            </w:pPr>
            <w:r>
              <w:rPr>
                <w:b/>
              </w:rPr>
              <w:t>Item 2(b).</w:t>
            </w:r>
          </w:p>
        </w:tc>
        <w:tc>
          <w:tcPr>
            <w:tcW w:w="9289" w:type="dxa"/>
            <w:tcBorders>
              <w:bottom w:val="single" w:sz="12" w:space="0" w:color="000000"/>
            </w:tcBorders>
            <w:tcMar>
              <w:bottom w:w="28" w:type="dxa"/>
            </w:tcMar>
            <w:vAlign w:val="center"/>
          </w:tcPr>
          <w:p>
            <w:pPr>
              <w:pStyle w:val="TableContents"/>
              <w:bidi w:val="0"/>
              <w:spacing w:before="0" w:after="0"/>
              <w:jc w:val="left"/>
              <w:rPr/>
            </w:pPr>
            <w:r>
              <w:rPr>
                <w:b/>
              </w:rPr>
              <w:t>Address of Principal Business Office or, if none, Residence:</w:t>
            </w:r>
            <w:r>
              <w:rPr/>
              <w:br/>
              <w:t>The addresses of the Reporting Persons are:</w:t>
            </w:r>
          </w:p>
          <w:p>
            <w:pPr>
              <w:pStyle w:val="TableContents"/>
              <w:bidi w:val="0"/>
              <w:spacing w:before="0" w:after="0"/>
              <w:jc w:val="left"/>
              <w:rPr/>
            </w:pPr>
            <w:r>
              <w:rPr/>
            </w:r>
          </w:p>
          <w:p>
            <w:pPr>
              <w:pStyle w:val="TableContents"/>
              <w:bidi w:val="0"/>
              <w:spacing w:before="0" w:after="0"/>
              <w:jc w:val="left"/>
              <w:rPr/>
            </w:pPr>
            <w:r>
              <w:rPr/>
              <w:t>(i) Golden Navigate Investments Limited:</w:t>
            </w:r>
          </w:p>
          <w:p>
            <w:pPr>
              <w:pStyle w:val="TableContents"/>
              <w:bidi w:val="0"/>
              <w:spacing w:before="0" w:after="0"/>
              <w:jc w:val="left"/>
              <w:rPr/>
            </w:pPr>
            <w:r>
              <w:rPr/>
              <w:t>Vistra Corporate Services Centre, Wickhams Cay II</w:t>
            </w:r>
          </w:p>
          <w:p>
            <w:pPr>
              <w:pStyle w:val="TableContents"/>
              <w:bidi w:val="0"/>
              <w:spacing w:before="0" w:after="0"/>
              <w:jc w:val="left"/>
              <w:rPr/>
            </w:pPr>
            <w:r>
              <w:rPr/>
              <w:t>Road Town, Tortola, VG1110</w:t>
            </w:r>
          </w:p>
          <w:p>
            <w:pPr>
              <w:pStyle w:val="TableContents"/>
              <w:bidi w:val="0"/>
              <w:spacing w:before="0" w:after="0"/>
              <w:jc w:val="left"/>
              <w:rPr/>
            </w:pPr>
            <w:r>
              <w:rPr/>
              <w:t>British Virgin Islands</w:t>
            </w:r>
          </w:p>
          <w:p>
            <w:pPr>
              <w:pStyle w:val="TableContents"/>
              <w:bidi w:val="0"/>
              <w:spacing w:before="0" w:after="0"/>
              <w:jc w:val="left"/>
              <w:rPr/>
            </w:pPr>
            <w:r>
              <w:rPr/>
            </w:r>
          </w:p>
          <w:p>
            <w:pPr>
              <w:pStyle w:val="TableContents"/>
              <w:bidi w:val="0"/>
              <w:spacing w:before="0" w:after="0"/>
              <w:jc w:val="left"/>
              <w:rPr/>
            </w:pPr>
            <w:r>
              <w:rPr/>
              <w:t>(ii) Yishuo Hu:</w:t>
            </w:r>
          </w:p>
          <w:p>
            <w:pPr>
              <w:pStyle w:val="TableContents"/>
              <w:bidi w:val="0"/>
              <w:spacing w:before="0" w:after="0"/>
              <w:jc w:val="left"/>
              <w:rPr/>
            </w:pPr>
            <w:r>
              <w:rPr/>
              <w:t>9-3202, No. 177 Hongxing Road</w:t>
            </w:r>
          </w:p>
          <w:p>
            <w:pPr>
              <w:pStyle w:val="TableContents"/>
              <w:bidi w:val="0"/>
              <w:spacing w:before="0" w:after="0"/>
              <w:jc w:val="left"/>
              <w:rPr/>
            </w:pPr>
            <w:r>
              <w:rPr/>
              <w:t>Baoshan Road Street, Jing’an District</w:t>
            </w:r>
          </w:p>
          <w:p>
            <w:pPr>
              <w:pStyle w:val="TableContents"/>
              <w:bidi w:val="0"/>
              <w:spacing w:before="0" w:after="0"/>
              <w:jc w:val="left"/>
              <w:rPr/>
            </w:pPr>
            <w:r>
              <w:rPr/>
              <w:t>Shanghai, China</w:t>
            </w:r>
          </w:p>
        </w:tc>
      </w:tr>
      <w:tr>
        <w:trPr/>
        <w:tc>
          <w:tcPr>
            <w:tcW w:w="916" w:type="dxa"/>
            <w:tcBorders/>
            <w:vAlign w:val="center"/>
          </w:tcPr>
          <w:p>
            <w:pPr>
              <w:pStyle w:val="TableContents"/>
              <w:bidi w:val="0"/>
              <w:spacing w:before="0" w:after="0"/>
              <w:jc w:val="left"/>
              <w:rPr>
                <w:b/>
              </w:rPr>
            </w:pPr>
            <w:r>
              <w:rPr>
                <w:b/>
              </w:rPr>
              <w:t>Item 2(c)</w:t>
            </w:r>
          </w:p>
        </w:tc>
        <w:tc>
          <w:tcPr>
            <w:tcW w:w="9289" w:type="dxa"/>
            <w:tcBorders>
              <w:bottom w:val="single" w:sz="12" w:space="0" w:color="000000"/>
            </w:tcBorders>
            <w:tcMar>
              <w:bottom w:w="28" w:type="dxa"/>
            </w:tcMar>
            <w:vAlign w:val="center"/>
          </w:tcPr>
          <w:p>
            <w:pPr>
              <w:pStyle w:val="TableContents"/>
              <w:bidi w:val="0"/>
              <w:spacing w:before="0" w:after="0"/>
              <w:jc w:val="left"/>
              <w:rPr>
                <w:b/>
              </w:rPr>
            </w:pPr>
            <w:r>
              <w:rPr>
                <w:b/>
              </w:rPr>
              <w:t>Citizenship:</w:t>
            </w:r>
          </w:p>
          <w:p>
            <w:pPr>
              <w:pStyle w:val="TableContents"/>
              <w:bidi w:val="0"/>
              <w:spacing w:before="0" w:after="0"/>
              <w:jc w:val="left"/>
              <w:rPr/>
            </w:pPr>
            <w:r>
              <w:rPr/>
              <w:t>Golden Navigate Investments Limited – British Virgin Islands</w:t>
            </w:r>
          </w:p>
          <w:p>
            <w:pPr>
              <w:pStyle w:val="TableContents"/>
              <w:bidi w:val="0"/>
              <w:spacing w:before="0" w:after="0"/>
              <w:jc w:val="left"/>
              <w:rPr/>
            </w:pPr>
            <w:r>
              <w:rPr/>
              <w:t>Yishuo Hu – Chinese</w:t>
            </w:r>
          </w:p>
        </w:tc>
      </w:tr>
      <w:tr>
        <w:trPr/>
        <w:tc>
          <w:tcPr>
            <w:tcW w:w="916" w:type="dxa"/>
            <w:tcBorders/>
            <w:vAlign w:val="center"/>
          </w:tcPr>
          <w:p>
            <w:pPr>
              <w:pStyle w:val="TableContents"/>
              <w:bidi w:val="0"/>
              <w:spacing w:before="0" w:after="0"/>
              <w:jc w:val="left"/>
              <w:rPr>
                <w:b/>
              </w:rPr>
            </w:pPr>
            <w:r>
              <w:rPr>
                <w:b/>
              </w:rPr>
              <w:t>Item 2(d).</w:t>
            </w:r>
          </w:p>
        </w:tc>
        <w:tc>
          <w:tcPr>
            <w:tcW w:w="9289" w:type="dxa"/>
            <w:tcBorders>
              <w:bottom w:val="single" w:sz="12" w:space="0" w:color="000000"/>
            </w:tcBorders>
            <w:tcMar>
              <w:bottom w:w="28" w:type="dxa"/>
            </w:tcMar>
            <w:vAlign w:val="center"/>
          </w:tcPr>
          <w:p>
            <w:pPr>
              <w:pStyle w:val="TableContents"/>
              <w:bidi w:val="0"/>
              <w:spacing w:before="0" w:after="0"/>
              <w:jc w:val="left"/>
              <w:rPr>
                <w:b/>
              </w:rPr>
            </w:pPr>
            <w:r>
              <w:rPr>
                <w:b/>
              </w:rPr>
              <w:t>Title of Class of Securities:</w:t>
            </w:r>
          </w:p>
          <w:p>
            <w:pPr>
              <w:pStyle w:val="TableContents"/>
              <w:bidi w:val="0"/>
              <w:spacing w:before="0" w:after="0"/>
              <w:jc w:val="left"/>
              <w:rPr/>
            </w:pPr>
            <w:r>
              <w:rPr/>
              <w:t>Class A ordinary shares, par value US$0.0000001 per share</w:t>
            </w:r>
          </w:p>
        </w:tc>
      </w:tr>
      <w:tr>
        <w:trPr/>
        <w:tc>
          <w:tcPr>
            <w:tcW w:w="916" w:type="dxa"/>
            <w:tcBorders/>
            <w:vAlign w:val="center"/>
          </w:tcPr>
          <w:p>
            <w:pPr>
              <w:pStyle w:val="TableContents"/>
              <w:bidi w:val="0"/>
              <w:spacing w:before="0" w:after="0"/>
              <w:jc w:val="left"/>
              <w:rPr>
                <w:b/>
              </w:rPr>
            </w:pPr>
            <w:r>
              <w:rPr>
                <w:b/>
              </w:rPr>
              <w:t>Item 2(e).</w:t>
            </w:r>
          </w:p>
        </w:tc>
        <w:tc>
          <w:tcPr>
            <w:tcW w:w="9289" w:type="dxa"/>
            <w:tcBorders>
              <w:bottom w:val="single" w:sz="12" w:space="0" w:color="000000"/>
            </w:tcBorders>
            <w:tcMar>
              <w:bottom w:w="28" w:type="dxa"/>
            </w:tcMar>
            <w:vAlign w:val="center"/>
          </w:tcPr>
          <w:p>
            <w:pPr>
              <w:pStyle w:val="TableContents"/>
              <w:bidi w:val="0"/>
              <w:spacing w:before="0" w:after="0"/>
              <w:jc w:val="left"/>
              <w:rPr/>
            </w:pPr>
            <w:r>
              <w:rPr>
                <w:b/>
              </w:rPr>
              <w:t>CUSIP Number:</w:t>
            </w:r>
            <w:r>
              <w:rPr/>
              <w:br/>
              <w:t>G11448100</w:t>
            </w:r>
          </w:p>
        </w:tc>
      </w:tr>
      <w:tr>
        <w:trPr/>
        <w:tc>
          <w:tcPr>
            <w:tcW w:w="916" w:type="dxa"/>
            <w:tcBorders/>
            <w:vAlign w:val="center"/>
          </w:tcPr>
          <w:p>
            <w:pPr>
              <w:pStyle w:val="TableContents"/>
              <w:bidi w:val="0"/>
              <w:spacing w:before="0" w:after="0"/>
              <w:jc w:val="left"/>
              <w:rPr>
                <w:b/>
              </w:rPr>
            </w:pPr>
            <w:r>
              <w:rPr>
                <w:b/>
              </w:rPr>
              <w:t>Item 3.</w:t>
            </w:r>
          </w:p>
        </w:tc>
        <w:tc>
          <w:tcPr>
            <w:tcW w:w="9289" w:type="dxa"/>
            <w:tcBorders/>
            <w:vAlign w:val="center"/>
          </w:tcPr>
          <w:p>
            <w:pPr>
              <w:pStyle w:val="TableContents"/>
              <w:bidi w:val="0"/>
              <w:spacing w:before="0" w:after="0"/>
              <w:jc w:val="left"/>
              <w:rPr>
                <w:b/>
              </w:rPr>
            </w:pPr>
            <w:r>
              <w:rPr>
                <w:b/>
              </w:rPr>
              <w:t>If this statement is filed pursuant to §§ 240.13d-1(b), or 240.13d-2(b) or (c), check whether the persons filing is a:</w:t>
            </w:r>
          </w:p>
          <w:p>
            <w:pPr>
              <w:pStyle w:val="TableContents"/>
              <w:bidi w:val="0"/>
              <w:spacing w:before="0" w:after="0"/>
              <w:jc w:val="left"/>
              <w:rPr/>
            </w:pPr>
            <w:r>
              <w:rPr/>
              <w:t>Not applicable</w:t>
            </w:r>
          </w:p>
        </w:tc>
      </w:tr>
      <w:tr>
        <w:trPr/>
        <w:tc>
          <w:tcPr>
            <w:tcW w:w="916" w:type="dxa"/>
            <w:tcBorders/>
            <w:vAlign w:val="center"/>
          </w:tcPr>
          <w:p>
            <w:pPr>
              <w:pStyle w:val="TableContents"/>
              <w:bidi w:val="0"/>
              <w:spacing w:before="0" w:after="0"/>
              <w:jc w:val="left"/>
              <w:rPr>
                <w:b/>
              </w:rPr>
            </w:pPr>
            <w:r>
              <w:rPr>
                <w:b/>
              </w:rPr>
              <w:t>Item 4.</w:t>
            </w:r>
          </w:p>
        </w:tc>
        <w:tc>
          <w:tcPr>
            <w:tcW w:w="9289" w:type="dxa"/>
            <w:tcBorders/>
            <w:vAlign w:val="center"/>
          </w:tcPr>
          <w:p>
            <w:pPr>
              <w:pStyle w:val="TableContents"/>
              <w:bidi w:val="0"/>
              <w:spacing w:before="0" w:after="0"/>
              <w:jc w:val="left"/>
              <w:rPr>
                <w:b/>
              </w:rPr>
            </w:pPr>
            <w:r>
              <w:rPr>
                <w:b/>
              </w:rPr>
              <w:t>Ownership:</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13d4df0c78de40b7b541526fff0f102a"/>
      <w:bookmarkStart w:id="21" w:name="z13d4df0c78de40b7b541526fff0f102a"/>
      <w:bookmarkEnd w:id="21"/>
    </w:p>
    <w:tbl>
      <w:tblPr>
        <w:tblW w:w="10205" w:type="dxa"/>
        <w:jc w:val="left"/>
        <w:tblInd w:w="0" w:type="dxa"/>
        <w:tblLayout w:type="fixed"/>
        <w:tblCellMar>
          <w:top w:w="0" w:type="dxa"/>
          <w:left w:w="0" w:type="dxa"/>
          <w:bottom w:w="28" w:type="dxa"/>
          <w:right w:w="0" w:type="dxa"/>
        </w:tblCellMar>
      </w:tblPr>
      <w:tblGrid>
        <w:gridCol w:w="1154"/>
        <w:gridCol w:w="60"/>
        <w:gridCol w:w="1243"/>
        <w:gridCol w:w="60"/>
        <w:gridCol w:w="920"/>
        <w:gridCol w:w="60"/>
        <w:gridCol w:w="920"/>
        <w:gridCol w:w="60"/>
        <w:gridCol w:w="1090"/>
        <w:gridCol w:w="60"/>
        <w:gridCol w:w="1173"/>
        <w:gridCol w:w="60"/>
        <w:gridCol w:w="838"/>
        <w:gridCol w:w="60"/>
        <w:gridCol w:w="1193"/>
        <w:gridCol w:w="60"/>
        <w:gridCol w:w="1194"/>
      </w:tblGrid>
      <w:tr>
        <w:trPr/>
        <w:tc>
          <w:tcPr>
            <w:tcW w:w="1154" w:type="dxa"/>
            <w:tcBorders>
              <w:bottom w:val="single" w:sz="12" w:space="0" w:color="000000"/>
            </w:tcBorders>
            <w:vAlign w:val="center"/>
          </w:tcPr>
          <w:p>
            <w:pPr>
              <w:pStyle w:val="TableContents"/>
              <w:bidi w:val="0"/>
              <w:spacing w:before="0" w:after="0"/>
              <w:ind w:left="90" w:right="90" w:hanging="0"/>
              <w:jc w:val="left"/>
              <w:rPr>
                <w:b/>
              </w:rPr>
            </w:pPr>
            <w:r>
              <w:rPr>
                <w:b/>
              </w:rPr>
              <w:t>Reporting Person</w:t>
            </w:r>
          </w:p>
        </w:tc>
        <w:tc>
          <w:tcPr>
            <w:tcW w:w="60" w:type="dxa"/>
            <w:tcBorders/>
            <w:tcMar>
              <w:bottom w:w="0" w:type="dxa"/>
            </w:tcMar>
            <w:vAlign w:val="center"/>
          </w:tcPr>
          <w:p>
            <w:pPr>
              <w:pStyle w:val="TableContents"/>
              <w:bidi w:val="0"/>
              <w:spacing w:before="0" w:after="283"/>
              <w:jc w:val="left"/>
              <w:rPr/>
            </w:pPr>
            <w:r>
              <w:rPr/>
              <w:t> </w:t>
            </w:r>
          </w:p>
        </w:tc>
        <w:tc>
          <w:tcPr>
            <w:tcW w:w="1243" w:type="dxa"/>
            <w:tcBorders>
              <w:bottom w:val="single" w:sz="12" w:space="0" w:color="000000"/>
            </w:tcBorders>
            <w:vAlign w:val="center"/>
          </w:tcPr>
          <w:p>
            <w:pPr>
              <w:pStyle w:val="TableContents"/>
              <w:bidi w:val="0"/>
              <w:spacing w:before="0" w:after="0"/>
              <w:ind w:left="90" w:right="83" w:hanging="0"/>
              <w:jc w:val="center"/>
              <w:rPr>
                <w:b/>
              </w:rPr>
            </w:pPr>
            <w:r>
              <w:rPr>
                <w:b/>
              </w:rPr>
              <w:t>Amount of</w:t>
            </w:r>
          </w:p>
          <w:p>
            <w:pPr>
              <w:pStyle w:val="TableContents"/>
              <w:bidi w:val="0"/>
              <w:spacing w:before="0" w:after="0"/>
              <w:ind w:left="90" w:right="83" w:hanging="0"/>
              <w:jc w:val="center"/>
              <w:rPr>
                <w:b/>
              </w:rPr>
            </w:pPr>
            <w:r>
              <w:rPr>
                <w:b/>
              </w:rPr>
              <w:t>shares</w:t>
            </w:r>
          </w:p>
          <w:p>
            <w:pPr>
              <w:pStyle w:val="TableContents"/>
              <w:bidi w:val="0"/>
              <w:spacing w:before="0" w:after="0"/>
              <w:ind w:left="90" w:right="83" w:hanging="0"/>
              <w:jc w:val="center"/>
              <w:rPr>
                <w:b/>
              </w:rPr>
            </w:pPr>
            <w:r>
              <w:rPr>
                <w:b/>
              </w:rPr>
              <w:t>beneficially</w:t>
            </w:r>
          </w:p>
          <w:p>
            <w:pPr>
              <w:pStyle w:val="TableContents"/>
              <w:bidi w:val="0"/>
              <w:spacing w:before="0" w:after="0"/>
              <w:ind w:left="90" w:right="83" w:hanging="0"/>
              <w:jc w:val="center"/>
              <w:rPr>
                <w:b/>
              </w:rPr>
            </w:pPr>
            <w:r>
              <w:rPr>
                <w:b/>
              </w:rPr>
              <w:t>owned:</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0"/>
              <w:jc w:val="center"/>
              <w:rPr>
                <w:b/>
              </w:rPr>
            </w:pPr>
            <w:r>
              <w:rPr>
                <w:b/>
              </w:rPr>
              <w:t>Percent</w:t>
            </w:r>
          </w:p>
          <w:p>
            <w:pPr>
              <w:pStyle w:val="TableContents"/>
              <w:bidi w:val="0"/>
              <w:spacing w:before="0" w:after="0"/>
              <w:jc w:val="center"/>
              <w:rPr>
                <w:b/>
              </w:rPr>
            </w:pPr>
            <w:r>
              <w:rPr>
                <w:b/>
              </w:rPr>
              <w:t>of class A</w:t>
            </w:r>
          </w:p>
          <w:p>
            <w:pPr>
              <w:pStyle w:val="TableContents"/>
              <w:bidi w:val="0"/>
              <w:spacing w:before="0" w:after="0"/>
              <w:jc w:val="center"/>
              <w:rPr>
                <w:b/>
              </w:rPr>
            </w:pPr>
            <w:r>
              <w:rPr>
                <w:b/>
              </w:rPr>
              <w:t xml:space="preserve">ordinary </w:t>
            </w:r>
          </w:p>
          <w:p>
            <w:pPr>
              <w:pStyle w:val="TableContents"/>
              <w:bidi w:val="0"/>
              <w:spacing w:lineRule="auto" w:line="240" w:before="0" w:after="0"/>
              <w:jc w:val="center"/>
              <w:rPr>
                <w:b/>
              </w:rPr>
            </w:pPr>
            <w:r>
              <w:rPr>
                <w:b/>
              </w:rPr>
              <w:t>shares(1):</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0"/>
              <w:jc w:val="center"/>
              <w:rPr>
                <w:b/>
              </w:rPr>
            </w:pPr>
            <w:r>
              <w:rPr>
                <w:b/>
              </w:rPr>
              <w:t>Percent</w:t>
            </w:r>
          </w:p>
          <w:p>
            <w:pPr>
              <w:pStyle w:val="TableContents"/>
              <w:bidi w:val="0"/>
              <w:spacing w:before="0" w:after="0"/>
              <w:jc w:val="center"/>
              <w:rPr>
                <w:b/>
              </w:rPr>
            </w:pPr>
            <w:r>
              <w:rPr>
                <w:b/>
              </w:rPr>
              <w:t>of</w:t>
            </w:r>
          </w:p>
          <w:p>
            <w:pPr>
              <w:pStyle w:val="TableContents"/>
              <w:bidi w:val="0"/>
              <w:spacing w:before="0" w:after="0"/>
              <w:jc w:val="center"/>
              <w:rPr>
                <w:b/>
              </w:rPr>
            </w:pPr>
            <w:r>
              <w:rPr>
                <w:b/>
              </w:rPr>
              <w:t>ordinary</w:t>
            </w:r>
          </w:p>
          <w:p>
            <w:pPr>
              <w:pStyle w:val="TableContents"/>
              <w:bidi w:val="0"/>
              <w:spacing w:lineRule="auto" w:line="240" w:before="0" w:after="0"/>
              <w:jc w:val="center"/>
              <w:rPr>
                <w:b/>
              </w:rPr>
            </w:pPr>
            <w:r>
              <w:rPr>
                <w:b/>
              </w:rPr>
              <w:t>shares(1):</w:t>
            </w:r>
          </w:p>
        </w:tc>
        <w:tc>
          <w:tcPr>
            <w:tcW w:w="60" w:type="dxa"/>
            <w:tcBorders/>
            <w:tcMar>
              <w:bottom w:w="0" w:type="dxa"/>
            </w:tcMar>
            <w:vAlign w:val="center"/>
          </w:tcPr>
          <w:p>
            <w:pPr>
              <w:pStyle w:val="TableContents"/>
              <w:bidi w:val="0"/>
              <w:spacing w:before="0" w:after="283"/>
              <w:jc w:val="left"/>
              <w:rPr/>
            </w:pPr>
            <w:r>
              <w:rPr/>
              <w:t> </w:t>
            </w:r>
          </w:p>
        </w:tc>
        <w:tc>
          <w:tcPr>
            <w:tcW w:w="1090" w:type="dxa"/>
            <w:tcBorders>
              <w:bottom w:val="single" w:sz="12" w:space="0" w:color="000000"/>
            </w:tcBorders>
            <w:vAlign w:val="center"/>
          </w:tcPr>
          <w:p>
            <w:pPr>
              <w:pStyle w:val="TableContents"/>
              <w:bidi w:val="0"/>
              <w:spacing w:before="0" w:after="0"/>
              <w:ind w:left="93" w:right="80" w:hanging="0"/>
              <w:jc w:val="center"/>
              <w:rPr>
                <w:b/>
              </w:rPr>
            </w:pPr>
            <w:r>
              <w:rPr>
                <w:b/>
              </w:rPr>
              <w:t>Percent of</w:t>
            </w:r>
          </w:p>
          <w:p>
            <w:pPr>
              <w:pStyle w:val="TableContents"/>
              <w:bidi w:val="0"/>
              <w:spacing w:before="0" w:after="0"/>
              <w:ind w:left="93" w:right="80" w:hanging="0"/>
              <w:jc w:val="center"/>
              <w:rPr>
                <w:b/>
              </w:rPr>
            </w:pPr>
            <w:r>
              <w:rPr>
                <w:b/>
              </w:rPr>
              <w:t>aggregate</w:t>
            </w:r>
          </w:p>
          <w:p>
            <w:pPr>
              <w:pStyle w:val="TableContents"/>
              <w:bidi w:val="0"/>
              <w:spacing w:before="0" w:after="0"/>
              <w:ind w:left="93" w:right="80" w:hanging="0"/>
              <w:jc w:val="center"/>
              <w:rPr>
                <w:b/>
              </w:rPr>
            </w:pPr>
            <w:r>
              <w:rPr>
                <w:b/>
              </w:rPr>
              <w:t>voting</w:t>
            </w:r>
          </w:p>
          <w:p>
            <w:pPr>
              <w:pStyle w:val="TableContents"/>
              <w:bidi w:val="0"/>
              <w:spacing w:before="0" w:after="0"/>
              <w:ind w:left="93" w:right="80" w:hanging="0"/>
              <w:jc w:val="center"/>
              <w:rPr>
                <w:b/>
              </w:rPr>
            </w:pPr>
            <w:r>
              <w:rPr>
                <w:b/>
              </w:rPr>
              <w:t>power:</w:t>
            </w:r>
          </w:p>
        </w:tc>
        <w:tc>
          <w:tcPr>
            <w:tcW w:w="60" w:type="dxa"/>
            <w:tcBorders/>
            <w:tcMar>
              <w:bottom w:w="0" w:type="dxa"/>
            </w:tcMar>
            <w:vAlign w:val="center"/>
          </w:tcPr>
          <w:p>
            <w:pPr>
              <w:pStyle w:val="TableContents"/>
              <w:bidi w:val="0"/>
              <w:spacing w:before="0" w:after="283"/>
              <w:jc w:val="left"/>
              <w:rPr/>
            </w:pPr>
            <w:r>
              <w:rPr/>
              <w:t> </w:t>
            </w:r>
          </w:p>
        </w:tc>
        <w:tc>
          <w:tcPr>
            <w:tcW w:w="1173" w:type="dxa"/>
            <w:tcBorders>
              <w:bottom w:val="single" w:sz="12" w:space="0" w:color="000000"/>
            </w:tcBorders>
            <w:vAlign w:val="center"/>
          </w:tcPr>
          <w:p>
            <w:pPr>
              <w:pStyle w:val="TableContents"/>
              <w:bidi w:val="0"/>
              <w:spacing w:before="0" w:after="0"/>
              <w:ind w:left="90" w:right="72" w:hanging="0"/>
              <w:jc w:val="center"/>
              <w:rPr>
                <w:b/>
              </w:rPr>
            </w:pPr>
            <w:r>
              <w:rPr>
                <w:b/>
              </w:rPr>
              <w:t>Sole power to</w:t>
            </w:r>
          </w:p>
          <w:p>
            <w:pPr>
              <w:pStyle w:val="TableContents"/>
              <w:bidi w:val="0"/>
              <w:spacing w:before="0" w:after="0"/>
              <w:ind w:left="90" w:right="72" w:hanging="0"/>
              <w:jc w:val="center"/>
              <w:rPr>
                <w:b/>
              </w:rPr>
            </w:pPr>
            <w:r>
              <w:rPr>
                <w:b/>
              </w:rPr>
              <w:t>vote</w:t>
            </w:r>
          </w:p>
          <w:p>
            <w:pPr>
              <w:pStyle w:val="TableContents"/>
              <w:bidi w:val="0"/>
              <w:spacing w:before="0" w:after="0"/>
              <w:ind w:left="90" w:right="72" w:hanging="0"/>
              <w:jc w:val="center"/>
              <w:rPr>
                <w:b/>
              </w:rPr>
            </w:pPr>
            <w:r>
              <w:rPr>
                <w:b/>
              </w:rPr>
              <w:t>or direct</w:t>
              <w:br/>
              <w:t>the vote:</w:t>
            </w:r>
          </w:p>
        </w:tc>
        <w:tc>
          <w:tcPr>
            <w:tcW w:w="60" w:type="dxa"/>
            <w:tcBorders/>
            <w:tcMar>
              <w:bottom w:w="0" w:type="dxa"/>
            </w:tcMar>
            <w:vAlign w:val="center"/>
          </w:tcPr>
          <w:p>
            <w:pPr>
              <w:pStyle w:val="TableContents"/>
              <w:bidi w:val="0"/>
              <w:spacing w:before="0" w:after="283"/>
              <w:jc w:val="left"/>
              <w:rPr/>
            </w:pPr>
            <w:r>
              <w:rPr/>
              <w:t> </w:t>
            </w:r>
          </w:p>
        </w:tc>
        <w:tc>
          <w:tcPr>
            <w:tcW w:w="838" w:type="dxa"/>
            <w:tcBorders>
              <w:bottom w:val="single" w:sz="12" w:space="0" w:color="000000"/>
            </w:tcBorders>
            <w:vAlign w:val="center"/>
          </w:tcPr>
          <w:p>
            <w:pPr>
              <w:pStyle w:val="TableContents"/>
              <w:bidi w:val="0"/>
              <w:spacing w:before="0" w:after="0"/>
              <w:ind w:left="90" w:right="83" w:hanging="0"/>
              <w:jc w:val="center"/>
              <w:rPr>
                <w:b/>
              </w:rPr>
            </w:pPr>
            <w:r>
              <w:rPr>
                <w:b/>
              </w:rPr>
              <w:t>Shared</w:t>
            </w:r>
          </w:p>
          <w:p>
            <w:pPr>
              <w:pStyle w:val="TableContents"/>
              <w:bidi w:val="0"/>
              <w:spacing w:before="0" w:after="0"/>
              <w:ind w:left="90" w:right="83" w:hanging="0"/>
              <w:jc w:val="center"/>
              <w:rPr>
                <w:b/>
              </w:rPr>
            </w:pPr>
            <w:r>
              <w:rPr>
                <w:b/>
              </w:rPr>
              <w:t>power</w:t>
            </w:r>
          </w:p>
          <w:p>
            <w:pPr>
              <w:pStyle w:val="TableContents"/>
              <w:bidi w:val="0"/>
              <w:spacing w:before="0" w:after="0"/>
              <w:ind w:left="90" w:right="83" w:hanging="0"/>
              <w:jc w:val="center"/>
              <w:rPr>
                <w:b/>
              </w:rPr>
            </w:pPr>
            <w:r>
              <w:rPr>
                <w:b/>
              </w:rPr>
              <w:t>to vote or</w:t>
            </w:r>
          </w:p>
          <w:p>
            <w:pPr>
              <w:pStyle w:val="TableContents"/>
              <w:bidi w:val="0"/>
              <w:spacing w:before="0" w:after="0"/>
              <w:ind w:left="90" w:right="83" w:hanging="0"/>
              <w:jc w:val="center"/>
              <w:rPr>
                <w:b/>
              </w:rPr>
            </w:pPr>
            <w:r>
              <w:rPr>
                <w:b/>
              </w:rPr>
              <w:t>to direct</w:t>
            </w:r>
          </w:p>
          <w:p>
            <w:pPr>
              <w:pStyle w:val="TableContents"/>
              <w:bidi w:val="0"/>
              <w:spacing w:before="0" w:after="0"/>
              <w:ind w:left="90" w:right="83" w:hanging="0"/>
              <w:jc w:val="center"/>
              <w:rPr>
                <w:b/>
              </w:rPr>
            </w:pPr>
            <w:r>
              <w:rPr>
                <w:b/>
              </w:rPr>
              <w:t>the vote:</w:t>
            </w:r>
          </w:p>
        </w:tc>
        <w:tc>
          <w:tcPr>
            <w:tcW w:w="60" w:type="dxa"/>
            <w:tcBorders/>
            <w:tcMar>
              <w:bottom w:w="0" w:type="dxa"/>
            </w:tcMar>
            <w:vAlign w:val="center"/>
          </w:tcPr>
          <w:p>
            <w:pPr>
              <w:pStyle w:val="TableContents"/>
              <w:bidi w:val="0"/>
              <w:spacing w:before="0" w:after="283"/>
              <w:jc w:val="left"/>
              <w:rPr/>
            </w:pPr>
            <w:r>
              <w:rPr/>
              <w:t> </w:t>
            </w:r>
          </w:p>
        </w:tc>
        <w:tc>
          <w:tcPr>
            <w:tcW w:w="1193" w:type="dxa"/>
            <w:tcBorders>
              <w:bottom w:val="single" w:sz="12" w:space="0" w:color="000000"/>
            </w:tcBorders>
            <w:vAlign w:val="center"/>
          </w:tcPr>
          <w:p>
            <w:pPr>
              <w:pStyle w:val="TableContents"/>
              <w:bidi w:val="0"/>
              <w:spacing w:before="0" w:after="0"/>
              <w:ind w:left="87" w:right="93" w:hanging="0"/>
              <w:jc w:val="center"/>
              <w:rPr>
                <w:b/>
              </w:rPr>
            </w:pPr>
            <w:r>
              <w:rPr>
                <w:b/>
              </w:rPr>
              <w:t>Sole power</w:t>
            </w:r>
          </w:p>
          <w:p>
            <w:pPr>
              <w:pStyle w:val="TableContents"/>
              <w:bidi w:val="0"/>
              <w:spacing w:before="0" w:after="0"/>
              <w:ind w:left="87" w:right="93" w:hanging="0"/>
              <w:jc w:val="center"/>
              <w:rPr>
                <w:b/>
              </w:rPr>
            </w:pPr>
            <w:r>
              <w:rPr>
                <w:b/>
              </w:rPr>
              <w:t>to</w:t>
            </w:r>
          </w:p>
          <w:p>
            <w:pPr>
              <w:pStyle w:val="TableContents"/>
              <w:bidi w:val="0"/>
              <w:spacing w:before="0" w:after="0"/>
              <w:ind w:left="87" w:right="93" w:hanging="0"/>
              <w:jc w:val="center"/>
              <w:rPr>
                <w:b/>
              </w:rPr>
            </w:pPr>
            <w:r>
              <w:rPr>
                <w:b/>
              </w:rPr>
              <w:t>dispose or to</w:t>
            </w:r>
          </w:p>
          <w:p>
            <w:pPr>
              <w:pStyle w:val="TableContents"/>
              <w:bidi w:val="0"/>
              <w:spacing w:before="0" w:after="0"/>
              <w:ind w:left="87" w:right="93" w:hanging="0"/>
              <w:jc w:val="center"/>
              <w:rPr>
                <w:b/>
              </w:rPr>
            </w:pPr>
            <w:r>
              <w:rPr>
                <w:b/>
              </w:rPr>
              <w:t>direct the</w:t>
            </w:r>
          </w:p>
          <w:p>
            <w:pPr>
              <w:pStyle w:val="TableContents"/>
              <w:bidi w:val="0"/>
              <w:spacing w:before="0" w:after="0"/>
              <w:ind w:left="87" w:right="93" w:hanging="0"/>
              <w:jc w:val="center"/>
              <w:rPr>
                <w:b/>
              </w:rPr>
            </w:pPr>
            <w:r>
              <w:rPr>
                <w:b/>
              </w:rPr>
              <w:t>disposition</w:t>
            </w:r>
          </w:p>
          <w:p>
            <w:pPr>
              <w:pStyle w:val="TableContents"/>
              <w:bidi w:val="0"/>
              <w:spacing w:before="0" w:after="0"/>
              <w:ind w:left="87" w:right="93" w:hanging="0"/>
              <w:jc w:val="center"/>
              <w:rPr>
                <w:b/>
              </w:rPr>
            </w:pPr>
            <w:r>
              <w:rPr>
                <w:b/>
              </w:rPr>
              <w:t>of:</w:t>
            </w:r>
          </w:p>
        </w:tc>
        <w:tc>
          <w:tcPr>
            <w:tcW w:w="60" w:type="dxa"/>
            <w:tcBorders/>
            <w:tcMar>
              <w:bottom w:w="0" w:type="dxa"/>
            </w:tcMar>
            <w:vAlign w:val="center"/>
          </w:tcPr>
          <w:p>
            <w:pPr>
              <w:pStyle w:val="TableContents"/>
              <w:bidi w:val="0"/>
              <w:spacing w:before="0" w:after="283"/>
              <w:jc w:val="left"/>
              <w:rPr/>
            </w:pPr>
            <w:r>
              <w:rPr/>
              <w:t> </w:t>
            </w:r>
          </w:p>
        </w:tc>
        <w:tc>
          <w:tcPr>
            <w:tcW w:w="1194" w:type="dxa"/>
            <w:tcBorders>
              <w:bottom w:val="single" w:sz="12" w:space="0" w:color="000000"/>
            </w:tcBorders>
            <w:vAlign w:val="center"/>
          </w:tcPr>
          <w:p>
            <w:pPr>
              <w:pStyle w:val="TableContents"/>
              <w:bidi w:val="0"/>
              <w:spacing w:before="0" w:after="0"/>
              <w:ind w:left="87" w:right="90" w:hanging="0"/>
              <w:jc w:val="center"/>
              <w:rPr>
                <w:b/>
              </w:rPr>
            </w:pPr>
            <w:r>
              <w:rPr>
                <w:b/>
              </w:rPr>
              <w:t>Shared</w:t>
            </w:r>
          </w:p>
          <w:p>
            <w:pPr>
              <w:pStyle w:val="TableContents"/>
              <w:bidi w:val="0"/>
              <w:spacing w:before="0" w:after="0"/>
              <w:ind w:left="87" w:right="90" w:hanging="0"/>
              <w:jc w:val="center"/>
              <w:rPr>
                <w:b/>
              </w:rPr>
            </w:pPr>
            <w:r>
              <w:rPr>
                <w:b/>
              </w:rPr>
              <w:t>power</w:t>
            </w:r>
          </w:p>
          <w:p>
            <w:pPr>
              <w:pStyle w:val="TableContents"/>
              <w:bidi w:val="0"/>
              <w:spacing w:before="0" w:after="0"/>
              <w:ind w:left="87" w:right="90" w:hanging="0"/>
              <w:jc w:val="center"/>
              <w:rPr>
                <w:b/>
              </w:rPr>
            </w:pPr>
            <w:r>
              <w:rPr>
                <w:b/>
              </w:rPr>
              <w:t>to dispose or</w:t>
            </w:r>
          </w:p>
          <w:p>
            <w:pPr>
              <w:pStyle w:val="TableContents"/>
              <w:bidi w:val="0"/>
              <w:spacing w:before="0" w:after="0"/>
              <w:ind w:left="87" w:right="90" w:hanging="0"/>
              <w:jc w:val="center"/>
              <w:rPr>
                <w:b/>
              </w:rPr>
            </w:pPr>
            <w:r>
              <w:rPr>
                <w:b/>
              </w:rPr>
              <w:t>to direct the</w:t>
            </w:r>
          </w:p>
          <w:p>
            <w:pPr>
              <w:pStyle w:val="TableContents"/>
              <w:bidi w:val="0"/>
              <w:spacing w:before="0" w:after="0"/>
              <w:ind w:left="87" w:right="90" w:hanging="0"/>
              <w:jc w:val="center"/>
              <w:rPr>
                <w:b/>
              </w:rPr>
            </w:pPr>
            <w:r>
              <w:rPr>
                <w:b/>
              </w:rPr>
              <w:t>disposition of:</w:t>
            </w:r>
          </w:p>
        </w:tc>
      </w:tr>
      <w:tr>
        <w:trPr/>
        <w:tc>
          <w:tcPr>
            <w:tcW w:w="1154" w:type="dxa"/>
            <w:tcBorders/>
            <w:tcMar>
              <w:bottom w:w="0" w:type="dxa"/>
            </w:tcMar>
            <w:vAlign w:val="center"/>
          </w:tcPr>
          <w:p>
            <w:pPr>
              <w:pStyle w:val="TableContents"/>
              <w:bidi w:val="0"/>
              <w:spacing w:before="0" w:after="0"/>
              <w:ind w:left="90" w:right="0" w:hanging="0"/>
              <w:jc w:val="left"/>
              <w:rPr/>
            </w:pPr>
            <w:r>
              <w:rPr/>
              <w:t>Golden Navigate Investments Limited</w:t>
            </w:r>
          </w:p>
        </w:tc>
        <w:tc>
          <w:tcPr>
            <w:tcW w:w="60" w:type="dxa"/>
            <w:tcBorders/>
            <w:tcMar>
              <w:bottom w:w="0" w:type="dxa"/>
            </w:tcMar>
            <w:vAlign w:val="center"/>
          </w:tcPr>
          <w:p>
            <w:pPr>
              <w:pStyle w:val="TableContents"/>
              <w:bidi w:val="0"/>
              <w:spacing w:before="0" w:after="283"/>
              <w:jc w:val="left"/>
              <w:rPr/>
            </w:pPr>
            <w:r>
              <w:rPr/>
              <w:t> </w:t>
            </w:r>
          </w:p>
        </w:tc>
        <w:tc>
          <w:tcPr>
            <w:tcW w:w="1243" w:type="dxa"/>
            <w:tcBorders/>
            <w:tcMar>
              <w:bottom w:w="0" w:type="dxa"/>
            </w:tcMar>
            <w:vAlign w:val="center"/>
          </w:tcPr>
          <w:p>
            <w:pPr>
              <w:pStyle w:val="TableContents"/>
              <w:bidi w:val="0"/>
              <w:spacing w:before="0" w:after="0"/>
              <w:ind w:left="0" w:right="83" w:hanging="0"/>
              <w:jc w:val="right"/>
              <w:rPr/>
            </w:pPr>
            <w:r>
              <w:rPr/>
              <w:t>10,214,395</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0"/>
              <w:jc w:val="right"/>
              <w:rPr/>
            </w:pPr>
            <w:r>
              <w:rPr/>
              <w:t>16.2%</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0"/>
              <w:jc w:val="right"/>
              <w:rPr/>
            </w:pPr>
            <w:r>
              <w:rPr/>
              <w:t>8.7%</w:t>
            </w:r>
          </w:p>
        </w:tc>
        <w:tc>
          <w:tcPr>
            <w:tcW w:w="60" w:type="dxa"/>
            <w:tcBorders/>
            <w:tcMar>
              <w:bottom w:w="0" w:type="dxa"/>
            </w:tcMar>
            <w:vAlign w:val="center"/>
          </w:tcPr>
          <w:p>
            <w:pPr>
              <w:pStyle w:val="TableContents"/>
              <w:bidi w:val="0"/>
              <w:spacing w:before="0" w:after="283"/>
              <w:jc w:val="left"/>
              <w:rPr/>
            </w:pPr>
            <w:r>
              <w:rPr/>
              <w:t> </w:t>
            </w:r>
          </w:p>
        </w:tc>
        <w:tc>
          <w:tcPr>
            <w:tcW w:w="1090" w:type="dxa"/>
            <w:tcBorders/>
            <w:tcMar>
              <w:bottom w:w="0" w:type="dxa"/>
            </w:tcMar>
            <w:vAlign w:val="center"/>
          </w:tcPr>
          <w:p>
            <w:pPr>
              <w:pStyle w:val="TableContents"/>
              <w:bidi w:val="0"/>
              <w:spacing w:before="0" w:after="0"/>
              <w:ind w:left="93" w:right="80" w:hanging="0"/>
              <w:jc w:val="right"/>
              <w:rPr/>
            </w:pPr>
            <w:r>
              <w:rPr/>
              <w:t>1.8%</w:t>
            </w:r>
          </w:p>
        </w:tc>
        <w:tc>
          <w:tcPr>
            <w:tcW w:w="60" w:type="dxa"/>
            <w:tcBorders/>
            <w:tcMar>
              <w:bottom w:w="0" w:type="dxa"/>
            </w:tcMar>
            <w:vAlign w:val="center"/>
          </w:tcPr>
          <w:p>
            <w:pPr>
              <w:pStyle w:val="TableContents"/>
              <w:bidi w:val="0"/>
              <w:spacing w:before="0" w:after="283"/>
              <w:jc w:val="left"/>
              <w:rPr/>
            </w:pPr>
            <w:r>
              <w:rPr/>
              <w:t> </w:t>
            </w:r>
          </w:p>
        </w:tc>
        <w:tc>
          <w:tcPr>
            <w:tcW w:w="1173" w:type="dxa"/>
            <w:tcBorders/>
            <w:tcMar>
              <w:bottom w:w="0" w:type="dxa"/>
            </w:tcMar>
            <w:vAlign w:val="center"/>
          </w:tcPr>
          <w:p>
            <w:pPr>
              <w:pStyle w:val="TableContents"/>
              <w:bidi w:val="0"/>
              <w:spacing w:before="0" w:after="0"/>
              <w:ind w:left="90" w:right="72" w:hanging="0"/>
              <w:jc w:val="right"/>
              <w:rPr/>
            </w:pPr>
            <w:r>
              <w:rPr/>
              <w:t>10,214,395</w:t>
            </w:r>
          </w:p>
        </w:tc>
        <w:tc>
          <w:tcPr>
            <w:tcW w:w="60"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0"/>
              <w:ind w:left="90" w:right="83" w:hanging="0"/>
              <w:jc w:val="right"/>
              <w:rPr/>
            </w:pPr>
            <w:r>
              <w:rPr/>
              <w:t>0</w:t>
            </w:r>
          </w:p>
        </w:tc>
        <w:tc>
          <w:tcPr>
            <w:tcW w:w="60" w:type="dxa"/>
            <w:tcBorders/>
            <w:tcMar>
              <w:bottom w:w="0" w:type="dxa"/>
            </w:tcMar>
            <w:vAlign w:val="center"/>
          </w:tcPr>
          <w:p>
            <w:pPr>
              <w:pStyle w:val="TableContents"/>
              <w:bidi w:val="0"/>
              <w:spacing w:before="0" w:after="283"/>
              <w:jc w:val="left"/>
              <w:rPr/>
            </w:pPr>
            <w:r>
              <w:rPr/>
              <w:t> </w:t>
            </w:r>
          </w:p>
        </w:tc>
        <w:tc>
          <w:tcPr>
            <w:tcW w:w="1193" w:type="dxa"/>
            <w:tcBorders/>
            <w:tcMar>
              <w:bottom w:w="0" w:type="dxa"/>
            </w:tcMar>
            <w:vAlign w:val="center"/>
          </w:tcPr>
          <w:p>
            <w:pPr>
              <w:pStyle w:val="TableContents"/>
              <w:bidi w:val="0"/>
              <w:spacing w:before="0" w:after="0"/>
              <w:ind w:left="87" w:right="93" w:hanging="0"/>
              <w:jc w:val="right"/>
              <w:rPr/>
            </w:pPr>
            <w:r>
              <w:rPr/>
              <w:t>10,214,395</w:t>
            </w:r>
          </w:p>
        </w:tc>
        <w:tc>
          <w:tcPr>
            <w:tcW w:w="60" w:type="dxa"/>
            <w:tcBorders/>
            <w:tcMar>
              <w:bottom w:w="0" w:type="dxa"/>
            </w:tcMar>
            <w:vAlign w:val="center"/>
          </w:tcPr>
          <w:p>
            <w:pPr>
              <w:pStyle w:val="TableContents"/>
              <w:bidi w:val="0"/>
              <w:spacing w:before="0" w:after="283"/>
              <w:jc w:val="left"/>
              <w:rPr/>
            </w:pPr>
            <w:r>
              <w:rPr/>
              <w:t> </w:t>
            </w:r>
          </w:p>
        </w:tc>
        <w:tc>
          <w:tcPr>
            <w:tcW w:w="1194" w:type="dxa"/>
            <w:tcBorders/>
            <w:tcMar>
              <w:bottom w:w="0" w:type="dxa"/>
            </w:tcMar>
            <w:vAlign w:val="center"/>
          </w:tcPr>
          <w:p>
            <w:pPr>
              <w:pStyle w:val="TableContents"/>
              <w:bidi w:val="0"/>
              <w:spacing w:before="0" w:after="0"/>
              <w:ind w:left="87" w:right="90" w:hanging="0"/>
              <w:jc w:val="right"/>
              <w:rPr/>
            </w:pPr>
            <w:r>
              <w:rPr/>
              <w:t>0</w:t>
            </w:r>
          </w:p>
        </w:tc>
      </w:tr>
      <w:tr>
        <w:trPr/>
        <w:tc>
          <w:tcPr>
            <w:tcW w:w="1154" w:type="dxa"/>
            <w:tcBorders/>
            <w:tcMar>
              <w:bottom w:w="0" w:type="dxa"/>
            </w:tcMar>
            <w:vAlign w:val="center"/>
          </w:tcPr>
          <w:p>
            <w:pPr>
              <w:pStyle w:val="TableContents"/>
              <w:bidi w:val="0"/>
              <w:spacing w:before="0" w:after="0"/>
              <w:ind w:left="90" w:right="0" w:hanging="0"/>
              <w:jc w:val="left"/>
              <w:rPr/>
            </w:pPr>
            <w:r>
              <w:rPr/>
              <w:t>Yishuo Hu</w:t>
            </w:r>
          </w:p>
        </w:tc>
        <w:tc>
          <w:tcPr>
            <w:tcW w:w="60" w:type="dxa"/>
            <w:tcBorders/>
            <w:tcMar>
              <w:bottom w:w="0" w:type="dxa"/>
            </w:tcMar>
            <w:vAlign w:val="center"/>
          </w:tcPr>
          <w:p>
            <w:pPr>
              <w:pStyle w:val="TableContents"/>
              <w:bidi w:val="0"/>
              <w:spacing w:before="0" w:after="283"/>
              <w:jc w:val="left"/>
              <w:rPr/>
            </w:pPr>
            <w:r>
              <w:rPr/>
              <w:t> </w:t>
            </w:r>
          </w:p>
        </w:tc>
        <w:tc>
          <w:tcPr>
            <w:tcW w:w="1243" w:type="dxa"/>
            <w:tcBorders/>
            <w:tcMar>
              <w:bottom w:w="0" w:type="dxa"/>
            </w:tcMar>
            <w:vAlign w:val="center"/>
          </w:tcPr>
          <w:p>
            <w:pPr>
              <w:pStyle w:val="TableContents"/>
              <w:bidi w:val="0"/>
              <w:spacing w:before="0" w:after="0"/>
              <w:ind w:left="0" w:right="83" w:hanging="0"/>
              <w:jc w:val="right"/>
              <w:rPr/>
            </w:pPr>
            <w:r>
              <w:rPr/>
              <w:t>10,214,395</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0"/>
              <w:jc w:val="right"/>
              <w:rPr/>
            </w:pPr>
            <w:r>
              <w:rPr/>
              <w:t>16.2%</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0"/>
              <w:jc w:val="right"/>
              <w:rPr/>
            </w:pPr>
            <w:r>
              <w:rPr/>
              <w:t>8.7%</w:t>
            </w:r>
          </w:p>
        </w:tc>
        <w:tc>
          <w:tcPr>
            <w:tcW w:w="60" w:type="dxa"/>
            <w:tcBorders/>
            <w:tcMar>
              <w:bottom w:w="0" w:type="dxa"/>
            </w:tcMar>
            <w:vAlign w:val="center"/>
          </w:tcPr>
          <w:p>
            <w:pPr>
              <w:pStyle w:val="TableContents"/>
              <w:bidi w:val="0"/>
              <w:spacing w:before="0" w:after="283"/>
              <w:jc w:val="left"/>
              <w:rPr/>
            </w:pPr>
            <w:r>
              <w:rPr/>
              <w:t> </w:t>
            </w:r>
          </w:p>
        </w:tc>
        <w:tc>
          <w:tcPr>
            <w:tcW w:w="1090" w:type="dxa"/>
            <w:tcBorders/>
            <w:tcMar>
              <w:bottom w:w="0" w:type="dxa"/>
            </w:tcMar>
            <w:vAlign w:val="center"/>
          </w:tcPr>
          <w:p>
            <w:pPr>
              <w:pStyle w:val="TableContents"/>
              <w:bidi w:val="0"/>
              <w:spacing w:before="0" w:after="0"/>
              <w:ind w:left="93" w:right="80" w:hanging="0"/>
              <w:jc w:val="right"/>
              <w:rPr/>
            </w:pPr>
            <w:r>
              <w:rPr/>
              <w:t>1.8%</w:t>
            </w:r>
          </w:p>
        </w:tc>
        <w:tc>
          <w:tcPr>
            <w:tcW w:w="60" w:type="dxa"/>
            <w:tcBorders/>
            <w:tcMar>
              <w:bottom w:w="0" w:type="dxa"/>
            </w:tcMar>
            <w:vAlign w:val="center"/>
          </w:tcPr>
          <w:p>
            <w:pPr>
              <w:pStyle w:val="TableContents"/>
              <w:bidi w:val="0"/>
              <w:spacing w:before="0" w:after="283"/>
              <w:jc w:val="left"/>
              <w:rPr/>
            </w:pPr>
            <w:r>
              <w:rPr/>
              <w:t> </w:t>
            </w:r>
          </w:p>
        </w:tc>
        <w:tc>
          <w:tcPr>
            <w:tcW w:w="1173" w:type="dxa"/>
            <w:tcBorders/>
            <w:tcMar>
              <w:bottom w:w="0" w:type="dxa"/>
            </w:tcMar>
            <w:vAlign w:val="center"/>
          </w:tcPr>
          <w:p>
            <w:pPr>
              <w:pStyle w:val="TableContents"/>
              <w:bidi w:val="0"/>
              <w:spacing w:before="0" w:after="0"/>
              <w:ind w:left="90" w:right="72" w:hanging="0"/>
              <w:jc w:val="right"/>
              <w:rPr/>
            </w:pPr>
            <w:r>
              <w:rPr/>
              <w:t>10,214,395</w:t>
            </w:r>
          </w:p>
        </w:tc>
        <w:tc>
          <w:tcPr>
            <w:tcW w:w="60"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0"/>
              <w:ind w:left="90" w:right="83" w:hanging="0"/>
              <w:jc w:val="right"/>
              <w:rPr/>
            </w:pPr>
            <w:r>
              <w:rPr/>
              <w:t>0</w:t>
            </w:r>
          </w:p>
        </w:tc>
        <w:tc>
          <w:tcPr>
            <w:tcW w:w="60" w:type="dxa"/>
            <w:tcBorders/>
            <w:tcMar>
              <w:bottom w:w="0" w:type="dxa"/>
            </w:tcMar>
            <w:vAlign w:val="center"/>
          </w:tcPr>
          <w:p>
            <w:pPr>
              <w:pStyle w:val="TableContents"/>
              <w:bidi w:val="0"/>
              <w:spacing w:before="0" w:after="283"/>
              <w:jc w:val="left"/>
              <w:rPr/>
            </w:pPr>
            <w:r>
              <w:rPr/>
              <w:t> </w:t>
            </w:r>
          </w:p>
        </w:tc>
        <w:tc>
          <w:tcPr>
            <w:tcW w:w="1193" w:type="dxa"/>
            <w:tcBorders/>
            <w:tcMar>
              <w:bottom w:w="0" w:type="dxa"/>
            </w:tcMar>
            <w:vAlign w:val="center"/>
          </w:tcPr>
          <w:p>
            <w:pPr>
              <w:pStyle w:val="TableContents"/>
              <w:bidi w:val="0"/>
              <w:spacing w:before="0" w:after="0"/>
              <w:ind w:left="87" w:right="93" w:hanging="0"/>
              <w:jc w:val="right"/>
              <w:rPr/>
            </w:pPr>
            <w:r>
              <w:rPr/>
              <w:t>10,214,395</w:t>
            </w:r>
          </w:p>
        </w:tc>
        <w:tc>
          <w:tcPr>
            <w:tcW w:w="60" w:type="dxa"/>
            <w:tcBorders/>
            <w:tcMar>
              <w:bottom w:w="0" w:type="dxa"/>
            </w:tcMar>
            <w:vAlign w:val="center"/>
          </w:tcPr>
          <w:p>
            <w:pPr>
              <w:pStyle w:val="TableContents"/>
              <w:bidi w:val="0"/>
              <w:spacing w:before="0" w:after="283"/>
              <w:jc w:val="left"/>
              <w:rPr/>
            </w:pPr>
            <w:r>
              <w:rPr/>
              <w:t> </w:t>
            </w:r>
          </w:p>
        </w:tc>
        <w:tc>
          <w:tcPr>
            <w:tcW w:w="1194" w:type="dxa"/>
            <w:tcBorders/>
            <w:tcMar>
              <w:bottom w:w="0" w:type="dxa"/>
            </w:tcMar>
            <w:vAlign w:val="center"/>
          </w:tcPr>
          <w:p>
            <w:pPr>
              <w:pStyle w:val="TableContents"/>
              <w:bidi w:val="0"/>
              <w:spacing w:before="0" w:after="0"/>
              <w:ind w:left="87" w:right="90" w:hanging="0"/>
              <w:jc w:val="right"/>
              <w:rPr/>
            </w:pPr>
            <w:r>
              <w:rPr/>
              <w:t>0</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22" w:name="zb1cbf8710f7b4ef68020ec1b9fef626f"/>
      <w:bookmarkStart w:id="23" w:name="zb1cbf8710f7b4ef68020ec1b9fef626f"/>
      <w:bookmarkEnd w:id="23"/>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pPr>
            <w:r>
              <w:rPr/>
              <w:t>The percentage of class of securities beneficially owned by each Reporting Person is based on a total of 111,288,605 ordinary shares of the Issuer outstanding as of April 13, 2023, including 62,888,683 class A ordinary shares and 48,399,922 class V ordinary shares.</w:t>
            </w:r>
          </w:p>
        </w:tc>
      </w:tr>
    </w:tbl>
    <w:p>
      <w:pPr>
        <w:pStyle w:val="Normal"/>
        <w:bidi w:val="0"/>
        <w:spacing w:before="0" w:after="0"/>
        <w:jc w:val="left"/>
        <w:rPr>
          <w:sz w:val="4"/>
          <w:szCs w:val="4"/>
        </w:rPr>
      </w:pPr>
      <w:r>
        <w:rPr>
          <w:sz w:val="4"/>
          <w:szCs w:val="4"/>
        </w:rPr>
      </w:r>
      <w:bookmarkStart w:id="24" w:name="z863f000882904bc98e2717ded9c234df"/>
      <w:bookmarkStart w:id="25" w:name="z863f000882904bc98e2717ded9c234df"/>
      <w:bookmarkEnd w:id="25"/>
    </w:p>
    <w:tbl>
      <w:tblPr>
        <w:tblW w:w="10205" w:type="dxa"/>
        <w:jc w:val="left"/>
        <w:tblInd w:w="0" w:type="dxa"/>
        <w:tblLayout w:type="fixed"/>
        <w:tblCellMar>
          <w:top w:w="0" w:type="dxa"/>
          <w:left w:w="0" w:type="dxa"/>
          <w:bottom w:w="0" w:type="dxa"/>
          <w:right w:w="0" w:type="dxa"/>
        </w:tblCellMar>
      </w:tblPr>
      <w:tblGrid>
        <w:gridCol w:w="688"/>
        <w:gridCol w:w="9517"/>
      </w:tblGrid>
      <w:tr>
        <w:trPr/>
        <w:tc>
          <w:tcPr>
            <w:tcW w:w="688" w:type="dxa"/>
            <w:tcBorders/>
            <w:vAlign w:val="center"/>
          </w:tcPr>
          <w:p>
            <w:pPr>
              <w:pStyle w:val="TableContents"/>
              <w:bidi w:val="0"/>
              <w:spacing w:before="0" w:after="0"/>
              <w:jc w:val="left"/>
              <w:rPr>
                <w:b/>
              </w:rPr>
            </w:pPr>
            <w:r>
              <w:rPr>
                <w:b/>
              </w:rPr>
              <w:t>Item 5.</w:t>
            </w:r>
          </w:p>
        </w:tc>
        <w:tc>
          <w:tcPr>
            <w:tcW w:w="9517" w:type="dxa"/>
            <w:tcBorders/>
            <w:vAlign w:val="center"/>
          </w:tcPr>
          <w:p>
            <w:pPr>
              <w:pStyle w:val="TableContents"/>
              <w:bidi w:val="0"/>
              <w:spacing w:before="0" w:after="0"/>
              <w:jc w:val="left"/>
              <w:rPr>
                <w:b/>
              </w:rPr>
            </w:pPr>
            <w:r>
              <w:rPr>
                <w:b/>
              </w:rPr>
              <w:t>Ownership of Five Percent or Less of a Class:</w:t>
            </w:r>
          </w:p>
          <w:p>
            <w:pPr>
              <w:pStyle w:val="TableContents"/>
              <w:bidi w:val="0"/>
              <w:spacing w:before="0" w:after="0"/>
              <w:jc w:val="left"/>
              <w:rPr/>
            </w:pPr>
            <w:r>
              <w:rPr/>
              <w:t>Not applicable</w:t>
            </w:r>
          </w:p>
        </w:tc>
      </w:tr>
      <w:tr>
        <w:trPr/>
        <w:tc>
          <w:tcPr>
            <w:tcW w:w="688" w:type="dxa"/>
            <w:tcBorders/>
            <w:vAlign w:val="center"/>
          </w:tcPr>
          <w:p>
            <w:pPr>
              <w:pStyle w:val="TableContents"/>
              <w:bidi w:val="0"/>
              <w:spacing w:before="0" w:after="0"/>
              <w:jc w:val="left"/>
              <w:rPr>
                <w:b/>
              </w:rPr>
            </w:pPr>
            <w:r>
              <w:rPr>
                <w:b/>
              </w:rPr>
              <w:t>Item 6.</w:t>
            </w:r>
          </w:p>
        </w:tc>
        <w:tc>
          <w:tcPr>
            <w:tcW w:w="9517" w:type="dxa"/>
            <w:tcBorders/>
            <w:vAlign w:val="center"/>
          </w:tcPr>
          <w:p>
            <w:pPr>
              <w:pStyle w:val="TableContents"/>
              <w:bidi w:val="0"/>
              <w:spacing w:before="0" w:after="0"/>
              <w:jc w:val="left"/>
              <w:rPr>
                <w:b/>
              </w:rPr>
            </w:pPr>
            <w:r>
              <w:rPr>
                <w:b/>
              </w:rPr>
              <w:t>Ownership of More than Five Percent on Behalf of Another Person:</w:t>
            </w:r>
          </w:p>
          <w:p>
            <w:pPr>
              <w:pStyle w:val="TableContents"/>
              <w:bidi w:val="0"/>
              <w:spacing w:before="0" w:after="0"/>
              <w:jc w:val="left"/>
              <w:rPr/>
            </w:pPr>
            <w:r>
              <w:rPr/>
              <w:t>Not applicable</w:t>
            </w:r>
          </w:p>
        </w:tc>
      </w:tr>
      <w:tr>
        <w:trPr/>
        <w:tc>
          <w:tcPr>
            <w:tcW w:w="688" w:type="dxa"/>
            <w:tcBorders/>
            <w:vAlign w:val="center"/>
          </w:tcPr>
          <w:p>
            <w:pPr>
              <w:pStyle w:val="TableContents"/>
              <w:bidi w:val="0"/>
              <w:spacing w:before="0" w:after="0"/>
              <w:jc w:val="left"/>
              <w:rPr>
                <w:b/>
              </w:rPr>
            </w:pPr>
            <w:r>
              <w:rPr>
                <w:b/>
              </w:rPr>
              <w:t>Item 7.</w:t>
            </w:r>
          </w:p>
        </w:tc>
        <w:tc>
          <w:tcPr>
            <w:tcW w:w="9517" w:type="dxa"/>
            <w:tcBorders/>
            <w:vAlign w:val="center"/>
          </w:tcPr>
          <w:p>
            <w:pPr>
              <w:pStyle w:val="TableContents"/>
              <w:bidi w:val="0"/>
              <w:spacing w:before="0" w:after="0"/>
              <w:jc w:val="left"/>
              <w:rPr>
                <w:b/>
              </w:rPr>
            </w:pPr>
            <w:r>
              <w:rPr>
                <w:b/>
              </w:rPr>
              <w:t>Identification and Classification of the Subsidiary Which Acquired the Security Being Reported on By the Parent Holding Company or Controlling Person:</w:t>
            </w:r>
          </w:p>
          <w:p>
            <w:pPr>
              <w:pStyle w:val="TableContents"/>
              <w:bidi w:val="0"/>
              <w:spacing w:before="0" w:after="0"/>
              <w:jc w:val="left"/>
              <w:rPr/>
            </w:pPr>
            <w:r>
              <w:rPr/>
              <w:t>Not applicable</w:t>
            </w:r>
          </w:p>
        </w:tc>
      </w:tr>
      <w:tr>
        <w:trPr/>
        <w:tc>
          <w:tcPr>
            <w:tcW w:w="688" w:type="dxa"/>
            <w:tcBorders/>
            <w:vAlign w:val="center"/>
          </w:tcPr>
          <w:p>
            <w:pPr>
              <w:pStyle w:val="TableContents"/>
              <w:bidi w:val="0"/>
              <w:spacing w:before="0" w:after="0"/>
              <w:jc w:val="left"/>
              <w:rPr>
                <w:b/>
              </w:rPr>
            </w:pPr>
            <w:r>
              <w:rPr>
                <w:b/>
              </w:rPr>
              <w:t>Item 8.</w:t>
            </w:r>
          </w:p>
        </w:tc>
        <w:tc>
          <w:tcPr>
            <w:tcW w:w="9517" w:type="dxa"/>
            <w:tcBorders/>
            <w:vAlign w:val="center"/>
          </w:tcPr>
          <w:p>
            <w:pPr>
              <w:pStyle w:val="TableContents"/>
              <w:bidi w:val="0"/>
              <w:spacing w:before="0" w:after="0"/>
              <w:jc w:val="left"/>
              <w:rPr>
                <w:b/>
              </w:rPr>
            </w:pPr>
            <w:r>
              <w:rPr>
                <w:b/>
              </w:rPr>
              <w:t>Identification and Classification of Members of the Group:</w:t>
            </w:r>
          </w:p>
          <w:p>
            <w:pPr>
              <w:pStyle w:val="TableContents"/>
              <w:bidi w:val="0"/>
              <w:spacing w:before="0" w:after="0"/>
              <w:jc w:val="left"/>
              <w:rPr/>
            </w:pPr>
            <w:r>
              <w:rPr/>
              <w:t>See Item 2(a) in lieu of an exhibit.</w:t>
            </w:r>
          </w:p>
        </w:tc>
      </w:tr>
      <w:tr>
        <w:trPr/>
        <w:tc>
          <w:tcPr>
            <w:tcW w:w="688" w:type="dxa"/>
            <w:tcBorders/>
            <w:vAlign w:val="center"/>
          </w:tcPr>
          <w:p>
            <w:pPr>
              <w:pStyle w:val="TableContents"/>
              <w:bidi w:val="0"/>
              <w:spacing w:before="0" w:after="0"/>
              <w:jc w:val="left"/>
              <w:rPr>
                <w:b/>
              </w:rPr>
            </w:pPr>
            <w:r>
              <w:rPr>
                <w:b/>
              </w:rPr>
              <w:t>Item 9.</w:t>
            </w:r>
          </w:p>
        </w:tc>
        <w:tc>
          <w:tcPr>
            <w:tcW w:w="9517" w:type="dxa"/>
            <w:tcBorders/>
            <w:vAlign w:val="center"/>
          </w:tcPr>
          <w:p>
            <w:pPr>
              <w:pStyle w:val="TableContents"/>
              <w:bidi w:val="0"/>
              <w:spacing w:before="0" w:after="0"/>
              <w:jc w:val="left"/>
              <w:rPr>
                <w:b/>
              </w:rPr>
            </w:pPr>
            <w:r>
              <w:rPr>
                <w:b/>
              </w:rPr>
              <w:t>Notice of Dissolution of Group:</w:t>
            </w:r>
          </w:p>
          <w:p>
            <w:pPr>
              <w:pStyle w:val="TableContents"/>
              <w:bidi w:val="0"/>
              <w:spacing w:before="0" w:after="0"/>
              <w:jc w:val="left"/>
              <w:rPr/>
            </w:pPr>
            <w:r>
              <w:rPr/>
              <w:t>Not applicable</w:t>
            </w:r>
          </w:p>
        </w:tc>
      </w:tr>
      <w:tr>
        <w:trPr/>
        <w:tc>
          <w:tcPr>
            <w:tcW w:w="688" w:type="dxa"/>
            <w:tcBorders/>
            <w:vAlign w:val="center"/>
          </w:tcPr>
          <w:p>
            <w:pPr>
              <w:pStyle w:val="TableContents"/>
              <w:bidi w:val="0"/>
              <w:spacing w:before="0" w:after="0"/>
              <w:jc w:val="left"/>
              <w:rPr>
                <w:b/>
              </w:rPr>
            </w:pPr>
            <w:r>
              <w:rPr>
                <w:b/>
              </w:rPr>
              <w:t>Item 10.</w:t>
            </w:r>
          </w:p>
        </w:tc>
        <w:tc>
          <w:tcPr>
            <w:tcW w:w="9517" w:type="dxa"/>
            <w:tcBorders/>
            <w:vAlign w:val="center"/>
          </w:tcPr>
          <w:p>
            <w:pPr>
              <w:pStyle w:val="TableContents"/>
              <w:bidi w:val="0"/>
              <w:spacing w:before="0" w:after="0"/>
              <w:jc w:val="left"/>
              <w:rPr>
                <w:b/>
              </w:rPr>
            </w:pPr>
            <w:r>
              <w:rPr>
                <w:b/>
              </w:rPr>
              <w:t>Certifications:</w:t>
            </w:r>
          </w:p>
          <w:p>
            <w:pPr>
              <w:pStyle w:val="TableContents"/>
              <w:bidi w:val="0"/>
              <w:spacing w:before="0" w:after="0"/>
              <w:jc w:val="left"/>
              <w:rPr/>
            </w:pPr>
            <w:r>
              <w:rPr/>
              <w:t>Not applicable</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sz w:val="16"/>
        </w:rPr>
      </w:pPr>
      <w:r>
        <w:rPr>
          <w:b w:val="false"/>
          <w:i w:val="false"/>
          <w:caps w:val="false"/>
          <w:smallCaps w:val="false"/>
          <w:sz w:val="16"/>
        </w:rPr>
        <w:t>4</w:t>
      </w:r>
    </w:p>
    <w:p>
      <w:pPr>
        <w:pStyle w:val="HorizontalLine"/>
        <w:pBdr>
          <w:bottom w:val="single" w:sz="12" w:space="0" w:color="808080"/>
        </w:pBdr>
        <w:bidi w:val="0"/>
        <w:spacing w:before="200" w:after="200"/>
        <w:jc w:val="left"/>
        <w:rPr/>
      </w:pPr>
      <w:r>
        <w:rPr/>
      </w:r>
    </w:p>
    <w:p>
      <w:pPr>
        <w:pStyle w:val="TextBody"/>
        <w:bidi w:val="0"/>
        <w:spacing w:before="0" w:after="0"/>
        <w:jc w:val="center"/>
        <w:rPr>
          <w:b/>
        </w:rPr>
      </w:pPr>
      <w:r>
        <w:rPr>
          <w:b/>
        </w:rPr>
        <w:t>EXHIBIT INDEX</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6" w:name="z8d1b6458fd684da395122fac9c4adfb9"/>
      <w:bookmarkStart w:id="27" w:name="z8d1b6458fd684da395122fac9c4adfb9"/>
      <w:bookmarkEnd w:id="27"/>
    </w:p>
    <w:tbl>
      <w:tblPr>
        <w:tblW w:w="3584" w:type="dxa"/>
        <w:jc w:val="left"/>
        <w:tblInd w:w="0" w:type="dxa"/>
        <w:tblLayout w:type="fixed"/>
        <w:tblCellMar>
          <w:top w:w="0" w:type="dxa"/>
          <w:left w:w="0" w:type="dxa"/>
          <w:bottom w:w="28" w:type="dxa"/>
          <w:right w:w="0" w:type="dxa"/>
        </w:tblCellMar>
      </w:tblPr>
      <w:tblGrid>
        <w:gridCol w:w="1329"/>
        <w:gridCol w:w="60"/>
        <w:gridCol w:w="2195"/>
      </w:tblGrid>
      <w:tr>
        <w:trPr/>
        <w:tc>
          <w:tcPr>
            <w:tcW w:w="1329" w:type="dxa"/>
            <w:tcBorders>
              <w:bottom w:val="single" w:sz="12" w:space="0" w:color="000000"/>
            </w:tcBorders>
            <w:vAlign w:val="center"/>
          </w:tcPr>
          <w:p>
            <w:pPr>
              <w:pStyle w:val="TableContents"/>
              <w:bidi w:val="0"/>
              <w:spacing w:before="0" w:after="0"/>
              <w:ind w:left="90" w:right="139" w:hanging="0"/>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0"/>
              <w:ind w:left="41" w:right="76" w:hanging="0"/>
              <w:jc w:val="center"/>
              <w:rPr>
                <w:b/>
              </w:rPr>
            </w:pPr>
            <w:r>
              <w:rPr>
                <w:b/>
              </w:rPr>
              <w:t>Description</w:t>
            </w:r>
          </w:p>
        </w:tc>
      </w:tr>
      <w:tr>
        <w:trPr/>
        <w:tc>
          <w:tcPr>
            <w:tcW w:w="1329" w:type="dxa"/>
            <w:tcBorders/>
            <w:tcMar>
              <w:bottom w:w="0" w:type="dxa"/>
            </w:tcMar>
            <w:vAlign w:val="center"/>
          </w:tcPr>
          <w:p>
            <w:pPr>
              <w:pStyle w:val="TableContents"/>
              <w:bidi w:val="0"/>
              <w:spacing w:before="0" w:after="0"/>
              <w:ind w:left="90" w:right="0" w:hanging="0"/>
              <w:jc w:val="left"/>
              <w:rPr/>
            </w:pPr>
            <w:hyperlink w:anchor="brhc20053393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0"/>
              <w:ind w:left="41" w:right="0" w:hanging="0"/>
              <w:jc w:val="left"/>
              <w:rPr/>
            </w:pPr>
            <w:r>
              <w:rPr/>
              <w:t>Joint Filing Agreement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b/>
        </w:rPr>
      </w:pPr>
      <w:r>
        <w:rPr>
          <w:b/>
        </w:rPr>
        <w:t>SIGNATURE</w:t>
      </w:r>
    </w:p>
    <w:p>
      <w:pPr>
        <w:pStyle w:val="TextBody"/>
        <w:bidi w:val="0"/>
        <w:spacing w:before="0" w:after="0"/>
        <w:jc w:val="left"/>
        <w:rPr/>
      </w:pPr>
      <w:r>
        <w:rPr/>
        <w:t> </w:t>
      </w:r>
    </w:p>
    <w:p>
      <w:pPr>
        <w:pStyle w:val="TextBody"/>
        <w:bidi w:val="0"/>
        <w:spacing w:before="0" w:after="0"/>
        <w:ind w:left="0" w:right="0" w:firstLine="720"/>
        <w:jc w:val="left"/>
        <w:rPr/>
      </w:pPr>
      <w:r>
        <w:rPr/>
        <w:t>After reasonable inquiry and to the best of my knowledge and belief, I certify that the information set forth in this statement is true, complete and correct.</w:t>
      </w:r>
    </w:p>
    <w:p>
      <w:pPr>
        <w:pStyle w:val="TextBody"/>
        <w:bidi w:val="0"/>
        <w:spacing w:before="0" w:after="0"/>
        <w:jc w:val="left"/>
        <w:rPr/>
      </w:pPr>
      <w:r>
        <w:rPr/>
        <w:t> </w:t>
      </w:r>
    </w:p>
    <w:p>
      <w:pPr>
        <w:pStyle w:val="TextBody"/>
        <w:bidi w:val="0"/>
        <w:spacing w:before="0" w:after="0"/>
        <w:jc w:val="left"/>
        <w:rPr/>
      </w:pPr>
      <w:r>
        <w:rPr/>
        <w:t>Dated: May 31,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85590e9da6fa46e597c86a04eab236b6"/>
      <w:bookmarkStart w:id="29" w:name="z85590e9da6fa46e597c86a04eab236b6"/>
      <w:bookmarkEnd w:id="29"/>
    </w:p>
    <w:tbl>
      <w:tblPr>
        <w:tblW w:w="3904" w:type="dxa"/>
        <w:jc w:val="left"/>
        <w:tblInd w:w="0" w:type="dxa"/>
        <w:tblLayout w:type="fixed"/>
        <w:tblCellMar>
          <w:top w:w="0" w:type="dxa"/>
          <w:left w:w="0" w:type="dxa"/>
          <w:bottom w:w="0" w:type="dxa"/>
          <w:right w:w="0" w:type="dxa"/>
        </w:tblCellMar>
      </w:tblPr>
      <w:tblGrid>
        <w:gridCol w:w="60"/>
        <w:gridCol w:w="895"/>
        <w:gridCol w:w="2823"/>
        <w:gridCol w:w="126"/>
      </w:tblGrid>
      <w:tr>
        <w:trPr/>
        <w:tc>
          <w:tcPr>
            <w:tcW w:w="60" w:type="dxa"/>
            <w:tcBorders/>
            <w:vAlign w:val="center"/>
          </w:tcPr>
          <w:p>
            <w:pPr>
              <w:pStyle w:val="TableContents"/>
              <w:bidi w:val="0"/>
              <w:spacing w:before="0" w:after="283"/>
              <w:jc w:val="left"/>
              <w:rPr/>
            </w:pPr>
            <w:r>
              <w:rPr/>
              <w:t> </w:t>
            </w:r>
          </w:p>
        </w:tc>
        <w:tc>
          <w:tcPr>
            <w:tcW w:w="3844" w:type="dxa"/>
            <w:gridSpan w:val="3"/>
            <w:tcBorders/>
            <w:vAlign w:val="center"/>
          </w:tcPr>
          <w:p>
            <w:pPr>
              <w:pStyle w:val="TableContents"/>
              <w:bidi w:val="0"/>
              <w:spacing w:before="0" w:after="0"/>
              <w:jc w:val="left"/>
              <w:rPr>
                <w:b/>
              </w:rPr>
            </w:pPr>
            <w:r>
              <w:rPr>
                <w:b/>
              </w:rPr>
              <w:t>Golden Navigate Investments Limited</w:t>
            </w:r>
          </w:p>
        </w:tc>
      </w:tr>
      <w:tr>
        <w:trPr/>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29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xml:space="preserve">By: </w:t>
            </w:r>
          </w:p>
        </w:tc>
        <w:tc>
          <w:tcPr>
            <w:tcW w:w="2823" w:type="dxa"/>
            <w:tcBorders>
              <w:bottom w:val="single" w:sz="12" w:space="0" w:color="000000"/>
            </w:tcBorders>
            <w:tcMar>
              <w:bottom w:w="28" w:type="dxa"/>
            </w:tcMar>
            <w:vAlign w:val="center"/>
          </w:tcPr>
          <w:p>
            <w:pPr>
              <w:pStyle w:val="TableContents"/>
              <w:bidi w:val="0"/>
              <w:spacing w:before="0" w:after="0"/>
              <w:ind w:left="180" w:right="0" w:hanging="0"/>
              <w:jc w:val="left"/>
              <w:rPr/>
            </w:pPr>
            <w:r>
              <w:rPr/>
              <w:t>/s/ Yishuo Hu</w:t>
            </w:r>
          </w:p>
        </w:tc>
        <w:tc>
          <w:tcPr>
            <w:tcW w:w="126" w:type="dxa"/>
            <w:tcBorders/>
            <w:vAlign w:val="center"/>
          </w:tcPr>
          <w:p>
            <w:pPr>
              <w:pStyle w:val="TableContents"/>
              <w:bidi w:val="0"/>
              <w:spacing w:before="0" w:after="283"/>
              <w:jc w:val="left"/>
              <w:rPr/>
            </w:pPr>
            <w:r>
              <w:rPr/>
              <w:t> </w:t>
            </w:r>
          </w:p>
        </w:tc>
      </w:tr>
    </w:tbl>
    <w:tbl>
      <w:tblPr>
        <w:tblW w:w="1780" w:type="dxa"/>
        <w:jc w:val="left"/>
        <w:tblInd w:w="0" w:type="dxa"/>
        <w:tblLayout w:type="fixed"/>
        <w:tblCellMar>
          <w:top w:w="0" w:type="dxa"/>
          <w:left w:w="0" w:type="dxa"/>
          <w:bottom w:w="0" w:type="dxa"/>
          <w:right w:w="0" w:type="dxa"/>
        </w:tblCellMar>
      </w:tblPr>
      <w:tblGrid>
        <w:gridCol w:w="60"/>
        <w:gridCol w:w="650"/>
        <w:gridCol w:w="1070"/>
      </w:tblGrid>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070" w:type="dxa"/>
            <w:tcBorders/>
            <w:vAlign w:val="center"/>
          </w:tcPr>
          <w:p>
            <w:pPr>
              <w:pStyle w:val="TableContents"/>
              <w:bidi w:val="0"/>
              <w:spacing w:before="0" w:after="0"/>
              <w:jc w:val="left"/>
              <w:rPr/>
            </w:pPr>
            <w:r>
              <w:rPr/>
              <w:t>Yishuo Hu</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070" w:type="dxa"/>
            <w:tcBorders/>
            <w:vAlign w:val="center"/>
          </w:tcPr>
          <w:p>
            <w:pPr>
              <w:pStyle w:val="TableContents"/>
              <w:bidi w:val="0"/>
              <w:spacing w:before="0" w:after="0"/>
              <w:jc w:val="left"/>
              <w:rPr/>
            </w:pPr>
            <w:r>
              <w:rPr/>
              <w:t>Director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0"/>
              <w:jc w:val="left"/>
              <w:rPr>
                <w:b/>
              </w:rPr>
            </w:pPr>
            <w:r>
              <w:rPr>
                <w:b/>
              </w:rPr>
              <w:t>Yishuo Hu</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r>
    </w:tbl>
    <w:tbl>
      <w:tblPr>
        <w:tblW w:w="1460" w:type="dxa"/>
        <w:jc w:val="left"/>
        <w:tblInd w:w="0" w:type="dxa"/>
        <w:tblLayout w:type="fixed"/>
        <w:tblCellMar>
          <w:top w:w="0" w:type="dxa"/>
          <w:left w:w="0" w:type="dxa"/>
          <w:bottom w:w="0" w:type="dxa"/>
          <w:right w:w="0" w:type="dxa"/>
        </w:tblCellMar>
      </w:tblPr>
      <w:tblGrid>
        <w:gridCol w:w="60"/>
        <w:gridCol w:w="1340"/>
        <w:gridCol w:w="60"/>
      </w:tblGrid>
      <w:tr>
        <w:trPr/>
        <w:tc>
          <w:tcPr>
            <w:tcW w:w="60" w:type="dxa"/>
            <w:tcBorders/>
            <w:vAlign w:val="center"/>
          </w:tcPr>
          <w:p>
            <w:pPr>
              <w:pStyle w:val="TableContents"/>
              <w:bidi w:val="0"/>
              <w:spacing w:before="0" w:after="283"/>
              <w:jc w:val="left"/>
              <w:rPr/>
            </w:pPr>
            <w:r>
              <w:rPr/>
              <w:t> </w:t>
            </w:r>
          </w:p>
        </w:tc>
        <w:tc>
          <w:tcPr>
            <w:tcW w:w="1340" w:type="dxa"/>
            <w:tcBorders>
              <w:bottom w:val="single" w:sz="12" w:space="0" w:color="000000"/>
            </w:tcBorders>
            <w:tcMar>
              <w:bottom w:w="28" w:type="dxa"/>
            </w:tcMar>
            <w:vAlign w:val="center"/>
          </w:tcPr>
          <w:p>
            <w:pPr>
              <w:pStyle w:val="TableContents"/>
              <w:bidi w:val="0"/>
              <w:spacing w:before="0" w:after="0"/>
              <w:ind w:left="180" w:right="0" w:hanging="0"/>
              <w:jc w:val="left"/>
              <w:rPr/>
            </w:pPr>
            <w:r>
              <w:rPr/>
              <w:t>/s/ Yishuo Hu</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0" w:name="brhc20053393_ex99-1.htm"/>
      <w:bookmarkStart w:id="31" w:name="ksbrhc20053393_ex991"/>
      <w:bookmarkStart w:id="32" w:name="brhc20053393_ex99-1.htm"/>
      <w:bookmarkStart w:id="33" w:name="ksbrhc20053393_ex991"/>
      <w:bookmarkEnd w:id="32"/>
      <w:bookmarkEnd w:id="33"/>
      <w:r>
        <w:br w:type="page"/>
      </w:r>
    </w:p>
    <w:p>
      <w:pPr>
        <w:pStyle w:val="TextBody"/>
        <w:bidi w:val="0"/>
        <w:spacing w:before="0" w:after="0"/>
        <w:jc w:val="right"/>
        <w:rPr>
          <w:b/>
          <w:u w:val="single"/>
        </w:rPr>
      </w:pPr>
      <w:r>
        <w:rPr>
          <w:b/>
          <w:u w:val="single"/>
        </w:rPr>
        <w:t>Exhibit 99.1</w:t>
      </w:r>
    </w:p>
    <w:p>
      <w:pPr>
        <w:pStyle w:val="TextBody"/>
        <w:bidi w:val="0"/>
        <w:spacing w:before="0" w:after="0"/>
        <w:jc w:val="left"/>
        <w:rPr/>
      </w:pPr>
      <w:r>
        <w:rPr/>
        <w:t> </w:t>
      </w:r>
    </w:p>
    <w:p>
      <w:pPr>
        <w:pStyle w:val="TextBody"/>
        <w:bidi w:val="0"/>
        <w:spacing w:before="0" w:after="0"/>
        <w:jc w:val="center"/>
        <w:rPr>
          <w:b/>
        </w:rPr>
      </w:pPr>
      <w:r>
        <w:rPr>
          <w:b/>
        </w:rPr>
        <w:t>JOINT FILING AGREEMENT</w:t>
      </w:r>
    </w:p>
    <w:p>
      <w:pPr>
        <w:pStyle w:val="TextBody"/>
        <w:bidi w:val="0"/>
        <w:spacing w:before="0" w:after="0"/>
        <w:jc w:val="left"/>
        <w:rPr/>
      </w:pPr>
      <w:r>
        <w:rPr/>
        <w:t> </w:t>
      </w:r>
    </w:p>
    <w:p>
      <w:pPr>
        <w:pStyle w:val="TextBody"/>
        <w:bidi w:val="0"/>
        <w:spacing w:before="0" w:after="0"/>
        <w:ind w:left="0" w:right="0" w:firstLine="720"/>
        <w:jc w:val="left"/>
        <w:rPr/>
      </w:pPr>
      <w:r>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$0.0000001 per share, of Bitdeer Technologies Group, a Cayman Islands exempted company,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jc w:val="left"/>
        <w:rPr/>
      </w:pPr>
      <w:r>
        <w:rPr/>
        <w:t> </w:t>
      </w:r>
    </w:p>
    <w:p>
      <w:pPr>
        <w:pStyle w:val="TextBody"/>
        <w:bidi w:val="0"/>
        <w:spacing w:before="0" w:after="0"/>
        <w:ind w:left="0" w:right="0" w:firstLine="720"/>
        <w:jc w:val="left"/>
        <w:rPr/>
      </w:pPr>
      <w:r>
        <w:rPr/>
        <w:t>IN WITNESS WHEREOF, the undersigned hereby execute this Agreement as of May 31, 2023.</w:t>
      </w:r>
    </w:p>
    <w:p>
      <w:pPr>
        <w:pStyle w:val="TextBody"/>
        <w:bidi w:val="0"/>
        <w:spacing w:before="0" w:after="0"/>
        <w:jc w:val="left"/>
        <w:rPr/>
      </w:pPr>
      <w:r>
        <w:rPr/>
      </w:r>
    </w:p>
    <w:tbl>
      <w:tblPr>
        <w:tblW w:w="3933" w:type="dxa"/>
        <w:jc w:val="left"/>
        <w:tblInd w:w="0" w:type="dxa"/>
        <w:tblLayout w:type="fixed"/>
        <w:tblCellMar>
          <w:top w:w="0" w:type="dxa"/>
          <w:left w:w="0" w:type="dxa"/>
          <w:bottom w:w="0" w:type="dxa"/>
          <w:right w:w="0" w:type="dxa"/>
        </w:tblCellMar>
      </w:tblPr>
      <w:tblGrid>
        <w:gridCol w:w="75"/>
        <w:gridCol w:w="791"/>
        <w:gridCol w:w="2905"/>
        <w:gridCol w:w="162"/>
      </w:tblGrid>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0"/>
              <w:jc w:val="left"/>
              <w:rPr>
                <w:b/>
              </w:rPr>
            </w:pPr>
            <w:r>
              <w:rPr>
                <w:b/>
              </w:rPr>
              <w:t>Golden Navigate Investments Limited</w:t>
            </w:r>
          </w:p>
        </w:tc>
      </w:tr>
      <w:tr>
        <w:trPr/>
        <w:tc>
          <w:tcPr>
            <w:tcW w:w="75"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pPr>
            <w:r>
              <w:rPr/>
              <w:t> </w:t>
            </w:r>
          </w:p>
        </w:tc>
        <w:tc>
          <w:tcPr>
            <w:tcW w:w="3067"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pPr>
            <w:r>
              <w:rPr/>
              <w:t>By:</w:t>
            </w:r>
          </w:p>
        </w:tc>
        <w:tc>
          <w:tcPr>
            <w:tcW w:w="2905" w:type="dxa"/>
            <w:tcBorders>
              <w:bottom w:val="single" w:sz="12" w:space="0" w:color="000000"/>
            </w:tcBorders>
            <w:tcMar>
              <w:bottom w:w="28" w:type="dxa"/>
            </w:tcMar>
            <w:vAlign w:val="center"/>
          </w:tcPr>
          <w:p>
            <w:pPr>
              <w:pStyle w:val="TableContents"/>
              <w:bidi w:val="0"/>
              <w:spacing w:before="0" w:after="0"/>
              <w:ind w:left="180" w:right="0" w:hanging="0"/>
              <w:jc w:val="left"/>
              <w:rPr/>
            </w:pPr>
            <w:r>
              <w:rPr/>
              <w:t>/s/ Yishuo Hu</w:t>
            </w:r>
          </w:p>
        </w:tc>
        <w:tc>
          <w:tcPr>
            <w:tcW w:w="162" w:type="dxa"/>
            <w:tcBorders/>
            <w:vAlign w:val="center"/>
          </w:tcPr>
          <w:p>
            <w:pPr>
              <w:pStyle w:val="TableContents"/>
              <w:bidi w:val="0"/>
              <w:spacing w:before="0" w:after="283"/>
              <w:jc w:val="left"/>
              <w:rPr/>
            </w:pPr>
            <w:r>
              <w:rPr/>
              <w:t> </w:t>
            </w:r>
          </w:p>
        </w:tc>
      </w:tr>
    </w:tbl>
    <w:tbl>
      <w:tblPr>
        <w:tblW w:w="1780" w:type="dxa"/>
        <w:jc w:val="left"/>
        <w:tblInd w:w="0" w:type="dxa"/>
        <w:tblLayout w:type="fixed"/>
        <w:tblCellMar>
          <w:top w:w="0" w:type="dxa"/>
          <w:left w:w="0" w:type="dxa"/>
          <w:bottom w:w="0" w:type="dxa"/>
          <w:right w:w="0" w:type="dxa"/>
        </w:tblCellMar>
      </w:tblPr>
      <w:tblGrid>
        <w:gridCol w:w="60"/>
        <w:gridCol w:w="650"/>
        <w:gridCol w:w="1070"/>
      </w:tblGrid>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070" w:type="dxa"/>
            <w:tcBorders/>
            <w:vAlign w:val="center"/>
          </w:tcPr>
          <w:p>
            <w:pPr>
              <w:pStyle w:val="TableContents"/>
              <w:bidi w:val="0"/>
              <w:spacing w:before="0" w:after="0"/>
              <w:jc w:val="left"/>
              <w:rPr/>
            </w:pPr>
            <w:r>
              <w:rPr/>
              <w:t>Yishuo Hu</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070" w:type="dxa"/>
            <w:tcBorders/>
            <w:vAlign w:val="center"/>
          </w:tcPr>
          <w:p>
            <w:pPr>
              <w:pStyle w:val="TableContents"/>
              <w:bidi w:val="0"/>
              <w:spacing w:before="0" w:after="0"/>
              <w:jc w:val="left"/>
              <w:rPr/>
            </w:pPr>
            <w:r>
              <w:rPr/>
              <w:t>Director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0"/>
              <w:jc w:val="left"/>
              <w:rPr>
                <w:b/>
              </w:rPr>
            </w:pPr>
            <w:r>
              <w:rPr>
                <w:b/>
              </w:rPr>
              <w:t>Yishuo Hu</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r>
    </w:tbl>
    <w:tbl>
      <w:tblPr>
        <w:tblW w:w="1490" w:type="dxa"/>
        <w:jc w:val="left"/>
        <w:tblInd w:w="0" w:type="dxa"/>
        <w:tblLayout w:type="fixed"/>
        <w:tblCellMar>
          <w:top w:w="0" w:type="dxa"/>
          <w:left w:w="0" w:type="dxa"/>
          <w:bottom w:w="0" w:type="dxa"/>
          <w:right w:w="0" w:type="dxa"/>
        </w:tblCellMar>
      </w:tblPr>
      <w:tblGrid>
        <w:gridCol w:w="75"/>
        <w:gridCol w:w="1340"/>
        <w:gridCol w:w="75"/>
      </w:tblGrid>
      <w:tr>
        <w:trPr/>
        <w:tc>
          <w:tcPr>
            <w:tcW w:w="75" w:type="dxa"/>
            <w:tcBorders/>
            <w:vAlign w:val="center"/>
          </w:tcPr>
          <w:p>
            <w:pPr>
              <w:pStyle w:val="TableContents"/>
              <w:bidi w:val="0"/>
              <w:spacing w:before="0" w:after="283"/>
              <w:jc w:val="left"/>
              <w:rPr/>
            </w:pPr>
            <w:r>
              <w:rPr/>
              <w:t> </w:t>
            </w:r>
          </w:p>
        </w:tc>
        <w:tc>
          <w:tcPr>
            <w:tcW w:w="1340" w:type="dxa"/>
            <w:tcBorders>
              <w:bottom w:val="single" w:sz="12" w:space="0" w:color="000000"/>
            </w:tcBorders>
            <w:tcMar>
              <w:bottom w:w="28" w:type="dxa"/>
            </w:tcMar>
            <w:vAlign w:val="center"/>
          </w:tcPr>
          <w:p>
            <w:pPr>
              <w:pStyle w:val="TableContents"/>
              <w:bidi w:val="0"/>
              <w:spacing w:before="0" w:after="0"/>
              <w:jc w:val="left"/>
              <w:rPr/>
            </w:pPr>
            <w:r>
              <w:rPr/>
              <w:t>/s/ Yishuo Hu</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1359</Words>
  <Characters>6997</Characters>
  <CharactersWithSpaces>8346</CharactersWithSpaces>
  <Paragraphs>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