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93"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6" w:lineRule="exact"/>
        <w:rPr>
          <w:sz w:val="24"/>
          <w:szCs w:val="24"/>
          <w:color w:val="auto"/>
        </w:rPr>
      </w:pPr>
    </w:p>
    <w:p>
      <w:pPr>
        <w:ind w:left="2000"/>
        <w:spacing w:after="0"/>
        <w:rPr>
          <w:sz w:val="20"/>
          <w:szCs w:val="20"/>
          <w:color w:val="auto"/>
        </w:rPr>
      </w:pPr>
      <w:r>
        <w:rPr>
          <w:rFonts w:ascii="Arial" w:cs="Arial" w:eastAsia="Arial" w:hAnsi="Arial"/>
          <w:sz w:val="43"/>
          <w:szCs w:val="43"/>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08 Kallang Avenue</w:t>
      </w:r>
    </w:p>
    <w:p>
      <w:pPr>
        <w:spacing w:after="0" w:line="27"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Aperia tower 1, #09-03/04</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b w:val="1"/>
          <w:bCs w:val="1"/>
          <w:color w:val="auto"/>
        </w:rPr>
        <w:t>Singapore 339509</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320" w:top="522" w:right="1099" w:bottom="1440" w:gutter="0" w:footer="0" w:header="0"/>
        </w:sectPr>
      </w:pPr>
    </w:p>
    <w:bookmarkStart w:id="1" w:name="page2"/>
    <w:bookmarkEnd w:id="1"/>
    <w:p>
      <w:pPr>
        <w:ind w:left="5180"/>
        <w:spacing w:after="0"/>
        <w:rPr>
          <w:sz w:val="20"/>
          <w:szCs w:val="20"/>
          <w:color w:val="auto"/>
        </w:rPr>
      </w:pPr>
      <w:r>
        <w:rPr>
          <w:rFonts w:ascii="Arial" w:cs="Arial" w:eastAsia="Arial" w:hAnsi="Arial"/>
          <w:sz w:val="18"/>
          <w:szCs w:val="18"/>
          <w:b w:val="1"/>
          <w:bCs w:val="1"/>
          <w:color w:val="auto"/>
        </w:rPr>
        <w:t>EXHIBITS</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t>
      </w:r>
    </w:p>
    <w:p>
      <w:pPr>
        <w:spacing w:after="0" w:line="21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5"/>
          <w:szCs w:val="15"/>
          <w:color w:val="auto"/>
        </w:rPr>
        <w:t>Press Release – Bitdeer Announces October 2023 Operations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Bitdeer Technologies Group</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Linghui Kong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7" w:lineRule="exact"/>
        <w:rPr>
          <w:sz w:val="20"/>
          <w:szCs w:val="20"/>
          <w:color w:val="auto"/>
        </w:rPr>
      </w:pPr>
    </w:p>
    <w:p>
      <w:pPr>
        <w:ind w:left="5640"/>
        <w:spacing w:after="0"/>
        <w:tabs>
          <w:tab w:leader="none" w:pos="6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Linghui Kong</w:t>
      </w:r>
    </w:p>
    <w:p>
      <w:pPr>
        <w:spacing w:after="0" w:line="23" w:lineRule="exact"/>
        <w:rPr>
          <w:sz w:val="20"/>
          <w:szCs w:val="20"/>
          <w:color w:val="auto"/>
        </w:rPr>
      </w:pPr>
    </w:p>
    <w:p>
      <w:pPr>
        <w:ind w:left="5640"/>
        <w:spacing w:after="0"/>
        <w:tabs>
          <w:tab w:leader="none" w:pos="626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121"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Bitdeer Announces October 2023 Operations Updates</w:t>
      </w:r>
    </w:p>
    <w:p>
      <w:pPr>
        <w:spacing w:after="0" w:line="207" w:lineRule="exact"/>
        <w:rPr>
          <w:sz w:val="20"/>
          <w:szCs w:val="20"/>
          <w:color w:val="auto"/>
        </w:rPr>
      </w:pPr>
    </w:p>
    <w:p>
      <w:pPr>
        <w:jc w:val="both"/>
        <w:ind w:right="240"/>
        <w:spacing w:after="0" w:line="347" w:lineRule="auto"/>
        <w:rPr>
          <w:sz w:val="20"/>
          <w:szCs w:val="20"/>
          <w:color w:val="auto"/>
        </w:rPr>
      </w:pPr>
      <w:r>
        <w:rPr>
          <w:rFonts w:ascii="Arial" w:cs="Arial" w:eastAsia="Arial" w:hAnsi="Arial"/>
          <w:sz w:val="16"/>
          <w:szCs w:val="16"/>
          <w:color w:val="auto"/>
        </w:rPr>
        <w:t>SINGAPORE, November 7, 2023 (GLOBE NEWSWIRE) -- Bitdeer Technologies Group (NASDAQ: BTDR) (“</w:t>
      </w:r>
      <w:r>
        <w:rPr>
          <w:rFonts w:ascii="Arial" w:cs="Arial" w:eastAsia="Arial" w:hAnsi="Arial"/>
          <w:sz w:val="16"/>
          <w:szCs w:val="16"/>
          <w:b w:val="1"/>
          <w:bCs w:val="1"/>
          <w:color w:val="auto"/>
        </w:rPr>
        <w:t>Bitdeer</w:t>
      </w:r>
      <w:r>
        <w:rPr>
          <w:rFonts w:ascii="Arial" w:cs="Arial" w:eastAsia="Arial" w:hAnsi="Arial"/>
          <w:sz w:val="16"/>
          <w:szCs w:val="16"/>
          <w:color w:val="auto"/>
        </w:rPr>
        <w:t>” or the “</w:t>
      </w:r>
      <w:r>
        <w:rPr>
          <w:rFonts w:ascii="Arial" w:cs="Arial" w:eastAsia="Arial" w:hAnsi="Arial"/>
          <w:sz w:val="16"/>
          <w:szCs w:val="16"/>
          <w:b w:val="1"/>
          <w:bCs w:val="1"/>
          <w:color w:val="auto"/>
        </w:rPr>
        <w:t>Company</w:t>
      </w:r>
      <w:r>
        <w:rPr>
          <w:rFonts w:ascii="Arial" w:cs="Arial" w:eastAsia="Arial" w:hAnsi="Arial"/>
          <w:sz w:val="16"/>
          <w:szCs w:val="16"/>
          <w:color w:val="auto"/>
        </w:rPr>
        <w:t>”), a world-leading technology company for the cryptocurrency mining community, today announced its unaudited mining and operations updates for October 2023.</w:t>
      </w:r>
    </w:p>
    <w:p>
      <w:pPr>
        <w:spacing w:after="0" w:line="12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Linghui Kong, Chief Executive Officer of Bitdeer, commented, “We continued to maintain a stable hash rate and aggregate electrical capacity during the month of October, and once again demonstrated solid results. On a strategic level, our team remains committed to identifying and pursuing initiatives which can leverage our existing expertise and take our tech capabilities to the next level. In terms of infrastructure, since entering full operations in September, our Gedu Datacenter in Bhutan has continued to function smoothly, augmenting our existing capabilities and contributing to our strong performance. During October, the Gedu Datacenter provided us with 3.3EH/s hash rate, and 211 Bitcoins were mined there, representing approximately 46% of our total Bitcoins mined for the month. Meanwhile, on the expansion front, we advanced construction of a 175MW immersion cooling datacenter at our Tydal, Norway mining facility, which we expect will be complete in 2025. Going forward, we will remain dedicated to pursuing strategic developments which will boost our long-term success, and we are confident that we will build lasting, sustainable value for our shareholders.”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primarily operates three distinct business lines:</w:t>
      </w:r>
    </w:p>
    <w:p>
      <w:pPr>
        <w:spacing w:after="0" w:line="23" w:lineRule="exact"/>
        <w:rPr>
          <w:sz w:val="20"/>
          <w:szCs w:val="20"/>
          <w:color w:val="auto"/>
        </w:rPr>
      </w:pPr>
    </w:p>
    <w:p>
      <w:pPr>
        <w:ind w:left="720" w:right="180" w:hanging="334"/>
        <w:spacing w:after="0" w:line="25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Self-mining </w:t>
      </w:r>
      <w:r>
        <w:rPr>
          <w:rFonts w:ascii="Arial" w:cs="Arial" w:eastAsia="Arial" w:hAnsi="Arial"/>
          <w:sz w:val="18"/>
          <w:szCs w:val="18"/>
          <w:color w:val="auto"/>
        </w:rPr>
        <w:t>refers to cryptocurrency mining for the Company’s own account, which allows it to directly capture the high appreciation potential</w:t>
      </w:r>
      <w:r>
        <w:rPr>
          <w:rFonts w:ascii="Arial" w:cs="Arial" w:eastAsia="Arial" w:hAnsi="Arial"/>
          <w:sz w:val="18"/>
          <w:szCs w:val="18"/>
          <w:b w:val="1"/>
          <w:bCs w:val="1"/>
          <w:color w:val="auto"/>
        </w:rPr>
        <w:t xml:space="preserve"> </w:t>
      </w:r>
      <w:r>
        <w:rPr>
          <w:rFonts w:ascii="Arial" w:cs="Arial" w:eastAsia="Arial" w:hAnsi="Arial"/>
          <w:sz w:val="18"/>
          <w:szCs w:val="18"/>
          <w:color w:val="auto"/>
        </w:rPr>
        <w:t>of cryptocurrency.</w:t>
      </w:r>
    </w:p>
    <w:p>
      <w:pPr>
        <w:ind w:left="720" w:right="160" w:hanging="334"/>
        <w:spacing w:after="0" w:line="25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Hash Rate Sharing </w:t>
      </w:r>
      <w:r>
        <w:rPr>
          <w:rFonts w:ascii="Arial" w:cs="Arial" w:eastAsia="Arial" w:hAnsi="Arial"/>
          <w:sz w:val="18"/>
          <w:szCs w:val="18"/>
          <w:color w:val="auto"/>
        </w:rPr>
        <w:t>currently primarily includes Cloud Hash Rate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 which the Company offers hash rate subscription plans and shares mining</w:t>
      </w:r>
      <w:r>
        <w:rPr>
          <w:rFonts w:ascii="Arial" w:cs="Arial" w:eastAsia="Arial" w:hAnsi="Arial"/>
          <w:sz w:val="18"/>
          <w:szCs w:val="18"/>
          <w:b w:val="1"/>
          <w:bCs w:val="1"/>
          <w:color w:val="auto"/>
        </w:rPr>
        <w:t xml:space="preserve"> </w:t>
      </w:r>
      <w:r>
        <w:rPr>
          <w:rFonts w:ascii="Arial" w:cs="Arial" w:eastAsia="Arial" w:hAnsi="Arial"/>
          <w:sz w:val="18"/>
          <w:szCs w:val="18"/>
          <w:color w:val="auto"/>
        </w:rPr>
        <w:t>income with customers under certain arrangements.</w:t>
      </w:r>
    </w:p>
    <w:p>
      <w:pPr>
        <w:ind w:left="720" w:right="300" w:hanging="334"/>
        <w:spacing w:after="0" w:line="260" w:lineRule="auto"/>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Hosting </w:t>
      </w:r>
      <w:r>
        <w:rPr>
          <w:rFonts w:ascii="Arial" w:cs="Arial" w:eastAsia="Arial" w:hAnsi="Arial"/>
          <w:sz w:val="18"/>
          <w:szCs w:val="18"/>
          <w:color w:val="auto"/>
        </w:rPr>
        <w:t>encompasses a one-stop mining machine hosting solution including deployment, maintenance, and management services for efficient</w:t>
      </w:r>
      <w:r>
        <w:rPr>
          <w:rFonts w:ascii="Arial" w:cs="Arial" w:eastAsia="Arial" w:hAnsi="Arial"/>
          <w:sz w:val="18"/>
          <w:szCs w:val="18"/>
          <w:b w:val="1"/>
          <w:bCs w:val="1"/>
          <w:color w:val="auto"/>
        </w:rPr>
        <w:t xml:space="preserve"> </w:t>
      </w:r>
      <w:r>
        <w:rPr>
          <w:rFonts w:ascii="Arial" w:cs="Arial" w:eastAsia="Arial" w:hAnsi="Arial"/>
          <w:sz w:val="18"/>
          <w:szCs w:val="18"/>
          <w:color w:val="auto"/>
        </w:rPr>
        <w:t>cryptocurrency mining.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Update</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55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Metrics</w:t>
            </w:r>
          </w:p>
        </w:tc>
        <w:tc>
          <w:tcPr>
            <w:tcW w:w="190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October 2023</w:t>
            </w:r>
          </w:p>
        </w:tc>
        <w:tc>
          <w:tcPr>
            <w:tcW w:w="1900" w:type="dxa"/>
            <w:vAlign w:val="bottom"/>
            <w:tcBorders>
              <w:top w:val="single" w:sz="8" w:color="auto"/>
              <w:bottom w:val="single" w:sz="8" w:color="auto"/>
              <w:right w:val="single" w:sz="8" w:color="auto"/>
            </w:tcBorders>
          </w:tcPr>
          <w:p>
            <w:pPr>
              <w:ind w:left="320"/>
              <w:spacing w:after="0"/>
              <w:rPr>
                <w:sz w:val="20"/>
                <w:szCs w:val="20"/>
                <w:color w:val="auto"/>
              </w:rPr>
            </w:pPr>
            <w:r>
              <w:rPr>
                <w:rFonts w:ascii="Arial" w:cs="Arial" w:eastAsia="Arial" w:hAnsi="Arial"/>
                <w:sz w:val="18"/>
                <w:szCs w:val="18"/>
                <w:b w:val="1"/>
                <w:bCs w:val="1"/>
                <w:color w:val="auto"/>
              </w:rPr>
              <w:t>September 2023</w:t>
            </w:r>
          </w:p>
        </w:tc>
        <w:tc>
          <w:tcPr>
            <w:tcW w:w="190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b w:val="1"/>
                <w:bCs w:val="1"/>
                <w:color w:val="auto"/>
              </w:rPr>
              <w:t>October 2022</w:t>
            </w:r>
          </w:p>
        </w:tc>
      </w:tr>
      <w:tr>
        <w:trPr>
          <w:trHeight w:val="223"/>
        </w:trPr>
        <w:tc>
          <w:tcPr>
            <w:tcW w:w="5540" w:type="dxa"/>
            <w:vAlign w:val="bottom"/>
            <w:tcBorders>
              <w:left w:val="single" w:sz="8" w:color="auto"/>
              <w:bottom w:val="single" w:sz="8" w:color="auto"/>
              <w:right w:val="single" w:sz="8" w:color="auto"/>
            </w:tcBorders>
            <w:shd w:val="clear" w:color="auto" w:fill="CCEEFF"/>
          </w:tcPr>
          <w:p>
            <w:pPr>
              <w:ind w:left="40"/>
              <w:spacing w:after="0" w:line="216" w:lineRule="exact"/>
              <w:rPr>
                <w:sz w:val="20"/>
                <w:szCs w:val="20"/>
                <w:color w:val="auto"/>
              </w:rPr>
            </w:pPr>
            <w:r>
              <w:rPr>
                <w:rFonts w:ascii="Arial" w:cs="Arial" w:eastAsia="Arial" w:hAnsi="Arial"/>
                <w:sz w:val="16"/>
                <w:szCs w:val="16"/>
                <w:b w:val="1"/>
                <w:bCs w:val="1"/>
                <w:color w:val="auto"/>
              </w:rPr>
              <w:t>Total hash rate under management</w:t>
            </w:r>
            <w:r>
              <w:rPr>
                <w:rFonts w:ascii="Arial" w:cs="Arial" w:eastAsia="Arial" w:hAnsi="Arial"/>
                <w:sz w:val="25"/>
                <w:szCs w:val="25"/>
                <w:b w:val="1"/>
                <w:bCs w:val="1"/>
                <w:color w:val="auto"/>
                <w:vertAlign w:val="superscript"/>
              </w:rPr>
              <w:t>1</w:t>
            </w:r>
            <w:r>
              <w:rPr>
                <w:rFonts w:ascii="Arial" w:cs="Arial" w:eastAsia="Arial" w:hAnsi="Arial"/>
                <w:sz w:val="16"/>
                <w:szCs w:val="16"/>
                <w:b w:val="1"/>
                <w:bCs w:val="1"/>
                <w:color w:val="auto"/>
              </w:rPr>
              <w:t xml:space="preserve"> (EH/s)</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21.2</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5"/>
              </w:rPr>
              <w:t>21.2</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14.1</w:t>
            </w:r>
          </w:p>
        </w:tc>
      </w:tr>
      <w:tr>
        <w:trPr>
          <w:trHeight w:val="223"/>
        </w:trPr>
        <w:tc>
          <w:tcPr>
            <w:tcW w:w="5540" w:type="dxa"/>
            <w:vAlign w:val="bottom"/>
            <w:tcBorders>
              <w:left w:val="single" w:sz="8" w:color="auto"/>
              <w:bottom w:val="single" w:sz="8" w:color="auto"/>
              <w:right w:val="single" w:sz="8" w:color="auto"/>
            </w:tcBorders>
          </w:tcPr>
          <w:p>
            <w:pPr>
              <w:ind w:left="120"/>
              <w:spacing w:after="0" w:line="216" w:lineRule="exact"/>
              <w:rPr>
                <w:sz w:val="20"/>
                <w:szCs w:val="20"/>
                <w:color w:val="auto"/>
              </w:rPr>
            </w:pPr>
            <w:r>
              <w:rPr>
                <w:rFonts w:ascii="Arial" w:cs="Arial" w:eastAsia="Arial" w:hAnsi="Arial"/>
                <w:sz w:val="16"/>
                <w:szCs w:val="16"/>
                <w:color w:val="auto"/>
              </w:rPr>
              <w:t>- Proprietary hash rate</w:t>
            </w:r>
            <w:r>
              <w:rPr>
                <w:rFonts w:ascii="Arial" w:cs="Arial" w:eastAsia="Arial" w:hAnsi="Arial"/>
                <w:sz w:val="25"/>
                <w:szCs w:val="25"/>
                <w:color w:val="auto"/>
                <w:vertAlign w:val="superscript"/>
              </w:rPr>
              <w:t>2</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8.7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8.7</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4.3</w:t>
            </w:r>
          </w:p>
        </w:tc>
      </w:tr>
      <w:tr>
        <w:trPr>
          <w:trHeight w:val="223"/>
        </w:trPr>
        <w:tc>
          <w:tcPr>
            <w:tcW w:w="5540" w:type="dxa"/>
            <w:vAlign w:val="bottom"/>
            <w:tcBorders>
              <w:left w:val="single" w:sz="8" w:color="auto"/>
              <w:bottom w:val="single" w:sz="8" w:color="auto"/>
              <w:right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 Self-mining</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7.2</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7.2</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2.6</w:t>
            </w:r>
          </w:p>
        </w:tc>
      </w:tr>
      <w:tr>
        <w:trPr>
          <w:trHeight w:val="223"/>
        </w:trPr>
        <w:tc>
          <w:tcPr>
            <w:tcW w:w="5540" w:type="dxa"/>
            <w:vAlign w:val="bottom"/>
            <w:tcBorders>
              <w:left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 Cloud Hash Rate</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1.7</w:t>
            </w:r>
          </w:p>
        </w:tc>
      </w:tr>
      <w:tr>
        <w:trPr>
          <w:trHeight w:val="223"/>
        </w:trPr>
        <w:tc>
          <w:tcPr>
            <w:tcW w:w="5540" w:type="dxa"/>
            <w:vAlign w:val="bottom"/>
            <w:tcBorders>
              <w:left w:val="single" w:sz="8" w:color="auto"/>
              <w:bottom w:val="single" w:sz="8" w:color="auto"/>
              <w:right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 Hosting</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12.5</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12.5</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9.8</w:t>
            </w:r>
          </w:p>
        </w:tc>
      </w:tr>
      <w:tr>
        <w:trPr>
          <w:trHeight w:val="223"/>
        </w:trPr>
        <w:tc>
          <w:tcPr>
            <w:tcW w:w="55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Mining machines under management</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221,000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221,000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153,000</w:t>
            </w:r>
          </w:p>
        </w:tc>
      </w:tr>
      <w:tr>
        <w:trPr>
          <w:trHeight w:val="223"/>
        </w:trPr>
        <w:tc>
          <w:tcPr>
            <w:tcW w:w="5540" w:type="dxa"/>
            <w:vAlign w:val="bottom"/>
            <w:tcBorders>
              <w:left w:val="single" w:sz="8" w:color="auto"/>
              <w:bottom w:val="single" w:sz="8" w:color="auto"/>
              <w:right w:val="single" w:sz="8" w:color="auto"/>
            </w:tcBorders>
            <w:shd w:val="clear" w:color="auto" w:fill="CCEEFF"/>
          </w:tcPr>
          <w:p>
            <w:pPr>
              <w:ind w:left="120"/>
              <w:spacing w:after="0" w:line="216" w:lineRule="exact"/>
              <w:rPr>
                <w:sz w:val="20"/>
                <w:szCs w:val="20"/>
                <w:color w:val="auto"/>
              </w:rPr>
            </w:pPr>
            <w:r>
              <w:rPr>
                <w:rFonts w:ascii="Arial" w:cs="Arial" w:eastAsia="Arial" w:hAnsi="Arial"/>
                <w:sz w:val="16"/>
                <w:szCs w:val="16"/>
                <w:color w:val="auto"/>
              </w:rPr>
              <w:t>- Self-owned</w:t>
            </w:r>
            <w:r>
              <w:rPr>
                <w:rFonts w:ascii="Arial" w:cs="Arial" w:eastAsia="Arial" w:hAnsi="Arial"/>
                <w:sz w:val="25"/>
                <w:szCs w:val="25"/>
                <w:color w:val="auto"/>
                <w:vertAlign w:val="superscript"/>
              </w:rPr>
              <w:t>3</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92,000</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92,000</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53,000</w:t>
            </w:r>
          </w:p>
        </w:tc>
      </w:tr>
      <w:tr>
        <w:trPr>
          <w:trHeight w:val="223"/>
        </w:trPr>
        <w:tc>
          <w:tcPr>
            <w:tcW w:w="55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 Hosted</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129,000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129,000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100,000</w:t>
            </w:r>
          </w:p>
        </w:tc>
      </w:tr>
      <w:tr>
        <w:trPr>
          <w:trHeight w:val="223"/>
        </w:trPr>
        <w:tc>
          <w:tcPr>
            <w:tcW w:w="5540" w:type="dxa"/>
            <w:vAlign w:val="bottom"/>
            <w:tcBorders>
              <w:left w:val="single" w:sz="8" w:color="auto"/>
              <w:bottom w:val="single" w:sz="8" w:color="auto"/>
              <w:right w:val="single" w:sz="8" w:color="auto"/>
            </w:tcBorders>
            <w:shd w:val="clear" w:color="auto" w:fill="CCEEFF"/>
          </w:tcPr>
          <w:p>
            <w:pPr>
              <w:ind w:left="40"/>
              <w:spacing w:after="0" w:line="216" w:lineRule="exact"/>
              <w:rPr>
                <w:sz w:val="20"/>
                <w:szCs w:val="20"/>
                <w:color w:val="auto"/>
              </w:rPr>
            </w:pPr>
            <w:r>
              <w:rPr>
                <w:rFonts w:ascii="Arial" w:cs="Arial" w:eastAsia="Arial" w:hAnsi="Arial"/>
                <w:sz w:val="16"/>
                <w:szCs w:val="16"/>
                <w:b w:val="1"/>
                <w:bCs w:val="1"/>
                <w:color w:val="auto"/>
              </w:rPr>
              <w:t>Aggregate electrical capacity</w:t>
            </w:r>
            <w:r>
              <w:rPr>
                <w:rFonts w:ascii="Arial" w:cs="Arial" w:eastAsia="Arial" w:hAnsi="Arial"/>
                <w:sz w:val="25"/>
                <w:szCs w:val="25"/>
                <w:b w:val="1"/>
                <w:bCs w:val="1"/>
                <w:color w:val="auto"/>
                <w:vertAlign w:val="superscript"/>
              </w:rPr>
              <w:t>4</w:t>
            </w:r>
            <w:r>
              <w:rPr>
                <w:rFonts w:ascii="Arial" w:cs="Arial" w:eastAsia="Arial" w:hAnsi="Arial"/>
                <w:sz w:val="16"/>
                <w:szCs w:val="16"/>
                <w:b w:val="1"/>
                <w:bCs w:val="1"/>
                <w:color w:val="auto"/>
              </w:rPr>
              <w:t xml:space="preserve"> (MW)</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895</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895</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755</w:t>
            </w:r>
          </w:p>
        </w:tc>
      </w:tr>
      <w:tr>
        <w:trPr>
          <w:trHeight w:val="223"/>
        </w:trPr>
        <w:tc>
          <w:tcPr>
            <w:tcW w:w="5540" w:type="dxa"/>
            <w:vAlign w:val="bottom"/>
            <w:tcBorders>
              <w:left w:val="single" w:sz="8" w:color="auto"/>
              <w:bottom w:val="single" w:sz="8" w:color="auto"/>
              <w:right w:val="single" w:sz="8" w:color="auto"/>
            </w:tcBorders>
          </w:tcPr>
          <w:p>
            <w:pPr>
              <w:ind w:left="40"/>
              <w:spacing w:after="0" w:line="216" w:lineRule="exact"/>
              <w:rPr>
                <w:sz w:val="20"/>
                <w:szCs w:val="20"/>
                <w:color w:val="auto"/>
              </w:rPr>
            </w:pPr>
            <w:r>
              <w:rPr>
                <w:rFonts w:ascii="Arial" w:cs="Arial" w:eastAsia="Arial" w:hAnsi="Arial"/>
                <w:sz w:val="16"/>
                <w:szCs w:val="16"/>
                <w:b w:val="1"/>
                <w:bCs w:val="1"/>
                <w:color w:val="auto"/>
              </w:rPr>
              <w:t>Bitcoin mined (self-mining only)</w:t>
            </w:r>
            <w:r>
              <w:rPr>
                <w:rFonts w:ascii="Arial" w:cs="Arial" w:eastAsia="Arial" w:hAnsi="Arial"/>
                <w:sz w:val="25"/>
                <w:szCs w:val="25"/>
                <w:b w:val="1"/>
                <w:bCs w:val="1"/>
                <w:color w:val="auto"/>
                <w:vertAlign w:val="superscript"/>
              </w:rPr>
              <w:t>5</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462</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482</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169</w:t>
            </w:r>
          </w:p>
        </w:tc>
      </w:tr>
    </w:tbl>
    <w:p>
      <w:pPr>
        <w:spacing w:after="0" w:line="122" w:lineRule="exact"/>
        <w:rPr>
          <w:sz w:val="20"/>
          <w:szCs w:val="20"/>
          <w:color w:val="auto"/>
        </w:rPr>
      </w:pPr>
    </w:p>
    <w:p>
      <w:pPr>
        <w:ind w:left="120" w:hanging="112"/>
        <w:spacing w:after="0"/>
        <w:tabs>
          <w:tab w:leader="none" w:pos="120" w:val="left"/>
        </w:tabs>
        <w:numPr>
          <w:ilvl w:val="0"/>
          <w:numId w:val="2"/>
        </w:numPr>
        <w:rPr>
          <w:rFonts w:ascii="Arial" w:cs="Arial" w:eastAsia="Arial" w:hAnsi="Arial"/>
          <w:sz w:val="27"/>
          <w:szCs w:val="27"/>
          <w:color w:val="auto"/>
          <w:vertAlign w:val="superscript"/>
        </w:rPr>
      </w:pPr>
      <w:r>
        <w:rPr>
          <w:rFonts w:ascii="Arial" w:cs="Arial" w:eastAsia="Arial" w:hAnsi="Arial"/>
          <w:sz w:val="16"/>
          <w:szCs w:val="16"/>
          <w:b w:val="1"/>
          <w:bCs w:val="1"/>
          <w:color w:val="auto"/>
        </w:rPr>
        <w:t xml:space="preserve">Total hash rate under management </w:t>
      </w:r>
      <w:r>
        <w:rPr>
          <w:rFonts w:ascii="Arial" w:cs="Arial" w:eastAsia="Arial" w:hAnsi="Arial"/>
          <w:sz w:val="16"/>
          <w:szCs w:val="16"/>
          <w:color w:val="auto"/>
        </w:rPr>
        <w:t>as of October 31, 2023 across the Company’s primary business lines: Self-mining, Cloud Hash Rate, and Hosting.</w:t>
      </w:r>
    </w:p>
    <w:p>
      <w:pPr>
        <w:spacing w:after="0" w:line="87" w:lineRule="exact"/>
        <w:rPr>
          <w:sz w:val="20"/>
          <w:szCs w:val="20"/>
          <w:color w:val="auto"/>
        </w:rPr>
      </w:pPr>
    </w:p>
    <w:p>
      <w:pPr>
        <w:ind w:left="120" w:hanging="112"/>
        <w:spacing w:after="0"/>
        <w:tabs>
          <w:tab w:leader="none" w:pos="120"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b w:val="1"/>
          <w:bCs w:val="1"/>
          <w:color w:val="auto"/>
        </w:rPr>
        <w:t xml:space="preserve">Proprietary hash rate </w:t>
      </w:r>
      <w:r>
        <w:rPr>
          <w:rFonts w:ascii="Arial" w:cs="Arial" w:eastAsia="Arial" w:hAnsi="Arial"/>
          <w:sz w:val="18"/>
          <w:szCs w:val="18"/>
          <w:color w:val="auto"/>
        </w:rPr>
        <w:t>as of October 31, 2023 was 8.7 EH/s, equivalent to proprietary hash rate as of September 30, 2023.</w:t>
      </w:r>
    </w:p>
    <w:p>
      <w:pPr>
        <w:spacing w:after="0" w:line="87" w:lineRule="exact"/>
        <w:rPr>
          <w:sz w:val="20"/>
          <w:szCs w:val="20"/>
          <w:color w:val="auto"/>
        </w:rPr>
      </w:pPr>
    </w:p>
    <w:p>
      <w:pPr>
        <w:ind w:left="120" w:hanging="112"/>
        <w:spacing w:after="0"/>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b w:val="1"/>
          <w:bCs w:val="1"/>
          <w:color w:val="auto"/>
        </w:rPr>
        <w:t xml:space="preserve">Self-owned mining machines </w:t>
      </w:r>
      <w:r>
        <w:rPr>
          <w:rFonts w:ascii="Arial" w:cs="Arial" w:eastAsia="Arial" w:hAnsi="Arial"/>
          <w:sz w:val="18"/>
          <w:szCs w:val="18"/>
          <w:color w:val="auto"/>
        </w:rPr>
        <w:t>are for the Company’s self-mining business and Cloud Hash Rate business.</w:t>
      </w:r>
    </w:p>
    <w:p>
      <w:pPr>
        <w:spacing w:after="0" w:line="87" w:lineRule="exact"/>
        <w:rPr>
          <w:sz w:val="20"/>
          <w:szCs w:val="20"/>
          <w:color w:val="auto"/>
        </w:rPr>
      </w:pPr>
    </w:p>
    <w:p>
      <w:pPr>
        <w:ind w:left="120" w:hanging="112"/>
        <w:spacing w:after="0"/>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b w:val="1"/>
          <w:bCs w:val="1"/>
          <w:color w:val="auto"/>
        </w:rPr>
        <w:t xml:space="preserve">Aggregate electrical capacity </w:t>
      </w:r>
      <w:r>
        <w:rPr>
          <w:rFonts w:ascii="Arial" w:cs="Arial" w:eastAsia="Arial" w:hAnsi="Arial"/>
          <w:sz w:val="18"/>
          <w:szCs w:val="18"/>
          <w:color w:val="auto"/>
        </w:rPr>
        <w:t>remained steady, totaling 895MW across six mining datacenters as of October 31, 2023.</w:t>
      </w:r>
    </w:p>
    <w:p>
      <w:pPr>
        <w:spacing w:after="0" w:line="198" w:lineRule="exact"/>
        <w:rPr>
          <w:sz w:val="20"/>
          <w:szCs w:val="20"/>
          <w:color w:val="auto"/>
        </w:rPr>
      </w:pPr>
    </w:p>
    <w:p>
      <w:pPr>
        <w:ind w:right="100" w:firstLine="8"/>
        <w:spacing w:after="0" w:line="224" w:lineRule="auto"/>
        <w:tabs>
          <w:tab w:leader="none" w:pos="112"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b w:val="1"/>
          <w:bCs w:val="1"/>
          <w:color w:val="auto"/>
        </w:rPr>
        <w:t xml:space="preserve">Bitcoin mined </w:t>
      </w:r>
      <w:r>
        <w:rPr>
          <w:rFonts w:ascii="Arial" w:cs="Arial" w:eastAsia="Arial" w:hAnsi="Arial"/>
          <w:sz w:val="17"/>
          <w:szCs w:val="17"/>
          <w:color w:val="auto"/>
        </w:rPr>
        <w:t>in October 2023 increased by 173.4% compared to October 2022. Bitcoin mined in October 2023 decreased by 4.1%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September 2023, primarily caused by an increase in the Bitcoin network’s total hash rate. The Company generally does not hold cryptocurrencies obtained through its self-mining business, and promptly converts them into fiat currency.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Update</w:t>
      </w:r>
    </w:p>
    <w:p>
      <w:pPr>
        <w:spacing w:after="0" w:line="27"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The Company has continued to make progress in the construction of a 175MW immersion cooling datacenter at its mining facility in Tydal, Norway (the “</w:t>
      </w:r>
      <w:r>
        <w:rPr>
          <w:rFonts w:ascii="Arial" w:cs="Arial" w:eastAsia="Arial" w:hAnsi="Arial"/>
          <w:sz w:val="18"/>
          <w:szCs w:val="18"/>
          <w:b w:val="1"/>
          <w:bCs w:val="1"/>
          <w:color w:val="auto"/>
        </w:rPr>
        <w:t>Tydal Datacenter</w:t>
      </w:r>
      <w:r>
        <w:rPr>
          <w:rFonts w:ascii="Arial" w:cs="Arial" w:eastAsia="Arial" w:hAnsi="Arial"/>
          <w:sz w:val="18"/>
          <w:szCs w:val="18"/>
          <w:color w:val="auto"/>
        </w:rPr>
        <w:t>”). The expansion of the Tydal Datacenter is expected to be completed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Schedule</w:t>
      </w:r>
    </w:p>
    <w:p>
      <w:pPr>
        <w:spacing w:after="0" w:line="27"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 xml:space="preserve">The Company will be attending and speaking at </w:t>
      </w:r>
      <w:r>
        <w:rPr>
          <w:rFonts w:ascii="Arial" w:cs="Arial" w:eastAsia="Arial" w:hAnsi="Arial"/>
          <w:sz w:val="18"/>
          <w:szCs w:val="18"/>
          <w:u w:val="single" w:color="auto"/>
          <w:color w:val="auto"/>
        </w:rPr>
        <w:t>Benzinga’s Future of Digital Assets</w:t>
      </w:r>
      <w:r>
        <w:rPr>
          <w:rFonts w:ascii="Arial" w:cs="Arial" w:eastAsia="Arial" w:hAnsi="Arial"/>
          <w:sz w:val="18"/>
          <w:szCs w:val="18"/>
          <w:color w:val="auto"/>
        </w:rPr>
        <w:t xml:space="preserve"> in New York City on November 14, 2023, as well as attending and speaking at the North American Blockchain Summit in Fort Worth, Texas on November 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Bitdeer Technologies Group</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Bitdeer is a world-leading technology company for the cryptocurrency mining community headquartered in Singapore. Bitdeer has committed to providing comprehensive digital asset mining solutions for its customers. Bitdeer handles complex processes involved in mining such as miner procurement, transport logistics, mining datacenter design and construction, mining machine management and daily operations. Bitdeer has mining datacenters deployed in the United States, Norway, and Bhutan. To learn more, visit </w:t>
      </w:r>
      <w:r>
        <w:rPr>
          <w:rFonts w:ascii="Arial" w:cs="Arial" w:eastAsia="Arial" w:hAnsi="Arial"/>
          <w:sz w:val="18"/>
          <w:szCs w:val="18"/>
          <w:u w:val="single" w:color="auto"/>
          <w:color w:val="auto"/>
        </w:rPr>
        <w:t>https://ir.bitdeer.com/.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Robin Yang,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Bitdeer.ir@icrinc.com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537-5825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Public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 Burgess, SVP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Bitdeer.pr@icrinc.com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 537-4056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4"/>
      <w:numFmt w:val="bullet"/>
      <w:start w:val="1"/>
    </w:lvl>
  </w:abstractNum>
  <w:abstractNum w:abstractNumId="5">
    <w:nsid w:val="507ED7AB"/>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2023-11-07T07:58:30Z</dcterms:created>
  <dcterms:modified xsi:type="dcterms:W3CDTF">2023-11-07T07:58:30Z</dcterms:modified>
</cp:coreProperties>
</file>