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11</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BITDEER TECHNOLOGIES GROUP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ordinary shares, par value $0.0000001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G11448100</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Tether Global Investments Fund</w:t>
              <w:br/>
              <w:t>Final Av. La Revolucion, Edif. Centro, Corporativo Presidente Plaza, Nivel 12</w:t>
              <w:br/>
              <w:t>San Salvador, H3, 00000</w:t>
              <w:br/>
              <w:t>4420 4621 1793</w:t>
            </w:r>
          </w:p>
          <w:p>
            <w:pPr>
              <w:pStyle w:val="TableContents"/>
              <w:bidi w:val="0"/>
              <w:jc w:val="left"/>
              <w:rPr/>
            </w:pPr>
            <w:r>
              <w:rPr/>
            </w:r>
          </w:p>
          <w:p>
            <w:pPr>
              <w:pStyle w:val="TableContents"/>
              <w:bidi w:val="0"/>
              <w:spacing w:before="0" w:after="0"/>
              <w:jc w:val="center"/>
              <w:rPr>
                <w:b/>
                <w:color w:val="0000FF"/>
              </w:rPr>
            </w:pPr>
            <w:r>
              <w:rPr>
                <w:b/>
                <w:color w:val="0000FF"/>
              </w:rPr>
              <w:t>Daniel Woodard</w:t>
              <w:br/>
              <w:t>McDermott Will &amp; Schulte LLP, One Vanderbilt Avenue</w:t>
              <w:br/>
              <w:t>New York, NY, 10017</w:t>
              <w:br/>
              <w:t>(212) 547-5400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02/17/2026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G11448100</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Tether Global Investments Fund, S.I.C.A.F., S.A.</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EL SALVADOR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38,356,531.00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38,356,531.00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38,356,531.00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20.1 %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Note in relation to Items 8, 10 and 11: Includes 38,356,531 Class A ordinary shares, par value $0.0000001 per share ("Class A Shares") of Bitdeer Technologies Group held by Tether Investments, S.A. de C.V., a wholly owned subsidiary of Tether Global Investments Fund, S.I.C.A.F., S.A. Note in relation to Item 13: This percentage is calculated based upon 191,152,162 Class A Shares outstanding on December 31, 2025, as reported in the Issuer's prospectus supplement filed with the Securities and Exchange Commission pursuant to Rule 424(b)(5) on February 19,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G11448100</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Tether Investments, S.A. de C.V.</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EL SALVADOR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38,356,531.00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38,356,531.00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38,356,531.00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20.1 %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Note in relation to Item 13: This percentage is calculated based upon 191,152,162 Class A Shares outstanding on December 31, 2025, as reported in the Issuer's prospectus supplement filed with the Securities and Exchange Commission pursuant to Rule 424(b)(5) on February 19,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G11448100</w:t>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Giancarlo Devasini</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ITALY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38,356,531.00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38,356,531.00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38,356,531.00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20.1 %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Note in relation to Items 8, 10 and 11: Includes 38,356,531 Class A ordinary shares, par value $0.0000001 per share ("Class A Shares") of Bitdeer Technologies Group held by Tether Investments, S.A. de C.V., a wholly owned subsidiary of Tether Global Investments Fund, S.I.C.A.F., S.A. Mr. Devasini has a greater than 50% voting interest in Tether Global Investments Fund, S.I.C.A.F., S.A. The reporting person disclaims beneficial ownership of these shares except to the extent of the reporting person's pecuniary interest. Note in relation to Item 13: This percentage is calculated based upon 191,152,162 Class A Shares outstanding on December 31, 2025, as reported in the Issuer's prospectus supplement filed with the Securities and Exchange Commission pursuant to Rule 424(b)(5) on February 19,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item1to7"/>
      <w:bookmarkStart w:id="19" w:name="item1to7"/>
      <w:bookmarkEnd w:id="19"/>
    </w:p>
    <w:tbl>
      <w:tblPr>
        <w:tblW w:w="10205" w:type="dxa"/>
        <w:jc w:val="left"/>
        <w:tblInd w:w="0" w:type="dxa"/>
        <w:tblLayout w:type="fixed"/>
        <w:tblCellMar>
          <w:top w:w="28" w:type="dxa"/>
          <w:left w:w="28" w:type="dxa"/>
          <w:bottom w:w="28" w:type="dxa"/>
          <w:right w:w="28" w:type="dxa"/>
        </w:tblCellMar>
      </w:tblPr>
      <w:tblGrid>
        <w:gridCol w:w="1126"/>
        <w:gridCol w:w="8904"/>
        <w:gridCol w:w="175"/>
      </w:tblGrid>
      <w:tr>
        <w:trPr/>
        <w:tc>
          <w:tcPr>
            <w:tcW w:w="1126" w:type="dxa"/>
            <w:tcBorders/>
            <w:vAlign w:val="center"/>
          </w:tcPr>
          <w:p>
            <w:pPr>
              <w:pStyle w:val="TableContents"/>
              <w:bidi w:val="0"/>
              <w:spacing w:before="0" w:after="283"/>
              <w:jc w:val="left"/>
              <w:rPr/>
            </w:pPr>
            <w:r>
              <w:rPr/>
              <w:t>Item 1.</w:t>
            </w:r>
          </w:p>
        </w:tc>
        <w:tc>
          <w:tcPr>
            <w:tcW w:w="8904" w:type="dxa"/>
            <w:tcBorders/>
            <w:vAlign w:val="center"/>
          </w:tcPr>
          <w:p>
            <w:pPr>
              <w:pStyle w:val="TableContents"/>
              <w:bidi w:val="0"/>
              <w:spacing w:before="0" w:after="283"/>
              <w:jc w:val="left"/>
              <w:rPr/>
            </w:pPr>
            <w:r>
              <w:rPr/>
              <w:t>Security and Issuer</w:t>
            </w:r>
          </w:p>
        </w:tc>
        <w:tc>
          <w:tcPr>
            <w:tcW w:w="17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(a)</w:t>
            </w:r>
          </w:p>
        </w:tc>
        <w:tc>
          <w:tcPr>
            <w:tcW w:w="890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ordinary shares, par value $0.0000001 per share</w:t>
            </w:r>
          </w:p>
        </w:tc>
        <w:tc>
          <w:tcPr>
            <w:tcW w:w="17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(b)</w:t>
            </w:r>
          </w:p>
        </w:tc>
        <w:tc>
          <w:tcPr>
            <w:tcW w:w="8904" w:type="dxa"/>
            <w:tcBorders/>
            <w:vAlign w:val="center"/>
          </w:tcPr>
          <w:p>
            <w:pPr>
              <w:pStyle w:val="TableContents"/>
              <w:bidi w:val="0"/>
              <w:jc w:val="left"/>
              <w:rPr/>
            </w:pPr>
            <w:r>
              <w:rPr/>
              <w:t xml:space="preserve">Name of Issuer: </w:t>
            </w:r>
          </w:p>
          <w:p>
            <w:pPr>
              <w:pStyle w:val="TableContents"/>
              <w:bidi w:val="0"/>
              <w:spacing w:before="0" w:after="0"/>
              <w:jc w:val="left"/>
              <w:rPr/>
            </w:pPr>
            <w:r>
              <w:rPr/>
              <w:t>BITDEER TECHNOLOGIES GROUP</w:t>
            </w:r>
          </w:p>
        </w:tc>
        <w:tc>
          <w:tcPr>
            <w:tcW w:w="17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(c)</w:t>
            </w:r>
          </w:p>
        </w:tc>
        <w:tc>
          <w:tcPr>
            <w:tcW w:w="890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08 Kallang Avenue, Aperia Tower 1, #09-03/04, Singapore, SINGAPORE , 339509.</w:t>
            </w:r>
          </w:p>
        </w:tc>
        <w:tc>
          <w:tcPr>
            <w:tcW w:w="17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statement on Schedule 13D amends the Schedule 13D of Tether Holdings Limited, a British Virgin Islands business company, Tether International Limited, a British Virgin Islands business company, Ludovicus Jan Van der Velde and Giancarlo Devasini that was originally filed with the Securities and Exchange Commission on June 6, 2024, as amended by Amendment No. 1 filed on August 8, 2024, Amendment No. 2 filed on September 3, 2024, Amendment No. 3 filed on November 7, 2024, Amendment No. 4 filed on January 22, 2025, Amendment No. 5 filed on March 17, 2025, Amendment No. 6 filed on April 8, 2025, Amendment No. 7 filed on April 15, 2025, Amendment No. 8 filed on April 23, 2025, Amendment No. 9 filed on November 10, 2025 and Amendment No. 10 filed on November 25, 2025 (as amended, the "Schedule 13D") with respect to the Class A ordinary shares, par value $0.0000001 per share ("Class A Shares") of Bitdeer Technologies Group, an exempted company incorporated in the Cayman Islands (the "Issuer"). This amendment to the Schedule 13D is being filed by Tether Global Investments Fund, S.I.C.A.F., S.A. (f/k/a Tether Holdings, S.A. de C.V. (and Tether Holdings Limited), an El Salvador entity, Tether Investments, S.A. de C.V. (f/k/a Tether Investments Limited), an El Salvador entity ("Tether Investments"), and Giancarlo Devasini (collectively, the "Reporting Persons") and constitutes Amendment No.11 to the Schedule 13D. Capitalized terms used but not defined herein have the meanings given to such terms in the Schedule 13D. Except as set forth herein, the Schedule 13D is unmodified.</w:t>
            </w:r>
          </w:p>
        </w:tc>
      </w:tr>
      <w:tr>
        <w:trPr/>
        <w:tc>
          <w:tcPr>
            <w:tcW w:w="1126" w:type="dxa"/>
            <w:tcBorders/>
            <w:vAlign w:val="center"/>
          </w:tcPr>
          <w:p>
            <w:pPr>
              <w:pStyle w:val="TableContents"/>
              <w:bidi w:val="0"/>
              <w:spacing w:before="0" w:after="283"/>
              <w:jc w:val="left"/>
              <w:rPr/>
            </w:pPr>
            <w:r>
              <w:rPr/>
              <w:t>Item 5.</w:t>
            </w:r>
          </w:p>
        </w:tc>
        <w:tc>
          <w:tcPr>
            <w:tcW w:w="8904" w:type="dxa"/>
            <w:tcBorders/>
            <w:vAlign w:val="center"/>
          </w:tcPr>
          <w:p>
            <w:pPr>
              <w:pStyle w:val="TableContents"/>
              <w:bidi w:val="0"/>
              <w:spacing w:before="0" w:after="283"/>
              <w:jc w:val="left"/>
              <w:rPr/>
            </w:pPr>
            <w:r>
              <w:rPr/>
              <w:t>Interest in Securities of the Issuer</w:t>
            </w:r>
          </w:p>
        </w:tc>
        <w:tc>
          <w:tcPr>
            <w:tcW w:w="17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(a)</w:t>
            </w:r>
          </w:p>
        </w:tc>
        <w:tc>
          <w:tcPr>
            <w:tcW w:w="8904" w:type="dxa"/>
            <w:tcBorders/>
            <w:vAlign w:val="center"/>
          </w:tcPr>
          <w:p>
            <w:pPr>
              <w:pStyle w:val="TableContents"/>
              <w:bidi w:val="0"/>
              <w:spacing w:before="0" w:after="0"/>
              <w:jc w:val="left"/>
              <w:rPr/>
            </w:pPr>
            <w:r>
              <w:rPr/>
              <w:t>The Reporting Persons beneficially own an aggregate of 38,356,531 of the Issuer's Class A Shares, representing 20.1% of the outstanding Class A Shares. This percentage is calculated based upon 191,152,162 Class A Shares outstanding on December 31, 2025, as reported in the Issuer's prospectus supplement filed with the Securities and Exchange Commission pursuant to Rule 424(b)(5) on February 19, 2026.</w:t>
            </w:r>
          </w:p>
        </w:tc>
        <w:tc>
          <w:tcPr>
            <w:tcW w:w="17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(b)</w:t>
            </w:r>
          </w:p>
        </w:tc>
        <w:tc>
          <w:tcPr>
            <w:tcW w:w="8904" w:type="dxa"/>
            <w:tcBorders/>
            <w:vAlign w:val="center"/>
          </w:tcPr>
          <w:p>
            <w:pPr>
              <w:pStyle w:val="TableContents"/>
              <w:bidi w:val="0"/>
              <w:spacing w:before="0" w:after="0"/>
              <w:jc w:val="left"/>
              <w:rPr/>
            </w:pPr>
            <w:r>
              <w:rPr/>
              <w:t>Each of the Reporting Persons has shared voting and dispositive power with respect to the beneficially owned 38,356,531 of the Issuer's Class A Shares.</w:t>
            </w:r>
          </w:p>
        </w:tc>
        <w:tc>
          <w:tcPr>
            <w:tcW w:w="17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(c)</w:t>
            </w:r>
          </w:p>
        </w:tc>
        <w:tc>
          <w:tcPr>
            <w:tcW w:w="8904" w:type="dxa"/>
            <w:tcBorders/>
            <w:vAlign w:val="center"/>
          </w:tcPr>
          <w:p>
            <w:pPr>
              <w:pStyle w:val="TableContents"/>
              <w:bidi w:val="0"/>
              <w:spacing w:before="0" w:after="0"/>
              <w:jc w:val="left"/>
              <w:rPr/>
            </w:pPr>
            <w:r>
              <w:rPr/>
              <w:t>Schedule B sets forth the transactions in the Common Shares effected by the Reporting Persons during the past 60 days.</w:t>
            </w:r>
          </w:p>
        </w:tc>
        <w:tc>
          <w:tcPr>
            <w:tcW w:w="17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(d)</w:t>
            </w:r>
          </w:p>
        </w:tc>
        <w:tc>
          <w:tcPr>
            <w:tcW w:w="8904" w:type="dxa"/>
            <w:tcBorders/>
            <w:vAlign w:val="center"/>
          </w:tcPr>
          <w:p>
            <w:pPr>
              <w:pStyle w:val="TableContents"/>
              <w:bidi w:val="0"/>
              <w:spacing w:before="0" w:after="0"/>
              <w:jc w:val="left"/>
              <w:rPr/>
            </w:pPr>
            <w:r>
              <w:rPr/>
              <w:t>None.</w:t>
            </w:r>
          </w:p>
        </w:tc>
        <w:tc>
          <w:tcPr>
            <w:tcW w:w="17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(e)</w:t>
            </w:r>
          </w:p>
        </w:tc>
        <w:tc>
          <w:tcPr>
            <w:tcW w:w="8904" w:type="dxa"/>
            <w:tcBorders/>
            <w:vAlign w:val="center"/>
          </w:tcPr>
          <w:p>
            <w:pPr>
              <w:pStyle w:val="TableContents"/>
              <w:bidi w:val="0"/>
              <w:spacing w:before="0" w:after="0"/>
              <w:jc w:val="left"/>
              <w:rPr/>
            </w:pPr>
            <w:r>
              <w:rPr/>
              <w:t>Not applicable.</w:t>
            </w:r>
          </w:p>
        </w:tc>
        <w:tc>
          <w:tcPr>
            <w:tcW w:w="17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Item 7.</w:t>
            </w:r>
          </w:p>
        </w:tc>
        <w:tc>
          <w:tcPr>
            <w:tcW w:w="8904" w:type="dxa"/>
            <w:tcBorders/>
            <w:vAlign w:val="center"/>
          </w:tcPr>
          <w:p>
            <w:pPr>
              <w:pStyle w:val="TableContents"/>
              <w:bidi w:val="0"/>
              <w:spacing w:before="0" w:after="283"/>
              <w:jc w:val="left"/>
              <w:rPr/>
            </w:pPr>
            <w:r>
              <w:rPr/>
              <w:t>Material to be Filed as Exhibits.</w:t>
            </w:r>
          </w:p>
        </w:tc>
        <w:tc>
          <w:tcPr>
            <w:tcW w:w="17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spacing w:before="0" w:after="0"/>
              <w:jc w:val="left"/>
              <w:rPr/>
            </w:pPr>
            <w:r>
              <w:rPr/>
              <w:t>Schedule A - Executive Officers and Directors Schedule B - Open Market Purchases Exhibit 1 - Agreement of filing persons relating to filing of joint statement per Rule 13d-1(k).</w:t>
            </w:r>
          </w:p>
        </w:tc>
        <w:tc>
          <w:tcPr>
            <w:tcW w:w="17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signatureInfo"/>
      <w:bookmarkStart w:id="21" w:name="signatureInfo"/>
      <w:bookmarkEnd w:id="2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10090" w:type="dxa"/>
        <w:jc w:val="left"/>
        <w:tblInd w:w="0" w:type="dxa"/>
        <w:tblLayout w:type="fixed"/>
        <w:tblCellMar>
          <w:top w:w="28" w:type="dxa"/>
          <w:left w:w="28" w:type="dxa"/>
          <w:bottom w:w="28" w:type="dxa"/>
          <w:right w:w="28" w:type="dxa"/>
        </w:tblCellMar>
      </w:tblPr>
      <w:tblGrid>
        <w:gridCol w:w="5045"/>
        <w:gridCol w:w="5045"/>
      </w:tblGrid>
      <w:tr>
        <w:trPr/>
        <w:tc>
          <w:tcPr>
            <w:tcW w:w="5045" w:type="dxa"/>
            <w:tcBorders/>
            <w:vAlign w:val="center"/>
          </w:tcPr>
          <w:p>
            <w:pPr>
              <w:pStyle w:val="TableContents"/>
              <w:bidi w:val="0"/>
              <w:spacing w:before="0" w:after="0"/>
              <w:jc w:val="left"/>
              <w:rPr/>
            </w:pPr>
            <w:r>
              <w:rPr/>
              <w:t> </w:t>
            </w:r>
          </w:p>
          <w:tbl>
            <w:tblPr>
              <w:tblW w:w="4891" w:type="dxa"/>
              <w:jc w:val="left"/>
              <w:tblInd w:w="0" w:type="dxa"/>
              <w:tblLayout w:type="fixed"/>
              <w:tblCellMar>
                <w:top w:w="28" w:type="dxa"/>
                <w:left w:w="28" w:type="dxa"/>
                <w:bottom w:w="28" w:type="dxa"/>
                <w:right w:w="28" w:type="dxa"/>
              </w:tblCellMar>
            </w:tblPr>
            <w:tblGrid>
              <w:gridCol w:w="4891"/>
            </w:tblGrid>
            <w:tr>
              <w:trPr/>
              <w:tc>
                <w:tcPr>
                  <w:tcW w:w="4891" w:type="dxa"/>
                  <w:tcBorders/>
                  <w:vAlign w:val="center"/>
                </w:tcPr>
                <w:p>
                  <w:pPr>
                    <w:pStyle w:val="TableContents"/>
                    <w:bidi w:val="0"/>
                    <w:spacing w:before="0" w:after="0"/>
                    <w:jc w:val="left"/>
                    <w:rPr/>
                  </w:pPr>
                  <w:r>
                    <w:rPr/>
                    <w:t>Tether Global Investments Fund, S.I.C.A.F., S.A.</w:t>
                  </w:r>
                </w:p>
              </w:tc>
            </w:tr>
          </w:tbl>
          <w:p>
            <w:pPr>
              <w:pStyle w:val="TableContents"/>
              <w:bidi w:val="0"/>
              <w:spacing w:before="0" w:after="283"/>
              <w:jc w:val="left"/>
              <w:rPr/>
            </w:pPr>
            <w:r>
              <w:rPr/>
            </w:r>
          </w:p>
        </w:tc>
        <w:tc>
          <w:tcPr>
            <w:tcW w:w="504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06"/>
        <w:gridCol w:w="4199"/>
      </w:tblGrid>
      <w:tr>
        <w:trPr/>
        <w:tc>
          <w:tcPr>
            <w:tcW w:w="60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Omar Rossi</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Omar Rossi, Sole Administrator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02/20/2026</w:t>
                  </w:r>
                </w:p>
              </w:tc>
            </w:tr>
          </w:tbl>
          <w:p>
            <w:pPr>
              <w:pStyle w:val="TableContents"/>
              <w:bidi w:val="0"/>
              <w:spacing w:before="0" w:after="283"/>
              <w:jc w:val="left"/>
              <w:rPr/>
            </w:pPr>
            <w:r>
              <w:rPr/>
            </w:r>
          </w:p>
        </w:tc>
        <w:tc>
          <w:tcPr>
            <w:tcW w:w="4199" w:type="dxa"/>
            <w:tcBorders/>
            <w:vAlign w:val="center"/>
          </w:tcPr>
          <w:p>
            <w:pPr>
              <w:pStyle w:val="TableContents"/>
              <w:bidi w:val="0"/>
              <w:spacing w:before="0" w:after="283"/>
              <w:jc w:val="left"/>
              <w:rPr>
                <w:sz w:val="4"/>
                <w:szCs w:val="4"/>
              </w:rPr>
            </w:pPr>
            <w:r>
              <w:rPr>
                <w:sz w:val="4"/>
                <w:szCs w:val="4"/>
              </w:rPr>
            </w:r>
          </w:p>
        </w:tc>
      </w:tr>
    </w:tbl>
    <w:tbl>
      <w:tblPr>
        <w:tblW w:w="6896" w:type="dxa"/>
        <w:jc w:val="left"/>
        <w:tblInd w:w="0" w:type="dxa"/>
        <w:tblLayout w:type="fixed"/>
        <w:tblCellMar>
          <w:top w:w="28" w:type="dxa"/>
          <w:left w:w="28" w:type="dxa"/>
          <w:bottom w:w="28" w:type="dxa"/>
          <w:right w:w="28" w:type="dxa"/>
        </w:tblCellMar>
      </w:tblPr>
      <w:tblGrid>
        <w:gridCol w:w="3448"/>
        <w:gridCol w:w="3448"/>
      </w:tblGrid>
      <w:tr>
        <w:trPr/>
        <w:tc>
          <w:tcPr>
            <w:tcW w:w="3448" w:type="dxa"/>
            <w:tcBorders/>
            <w:vAlign w:val="center"/>
          </w:tcPr>
          <w:p>
            <w:pPr>
              <w:pStyle w:val="TableContents"/>
              <w:bidi w:val="0"/>
              <w:spacing w:before="0" w:after="0"/>
              <w:jc w:val="left"/>
              <w:rPr/>
            </w:pPr>
            <w:r>
              <w:rPr/>
              <w:t> </w:t>
            </w:r>
          </w:p>
          <w:tbl>
            <w:tblPr>
              <w:tblW w:w="3331" w:type="dxa"/>
              <w:jc w:val="left"/>
              <w:tblInd w:w="0" w:type="dxa"/>
              <w:tblLayout w:type="fixed"/>
              <w:tblCellMar>
                <w:top w:w="28" w:type="dxa"/>
                <w:left w:w="28" w:type="dxa"/>
                <w:bottom w:w="28" w:type="dxa"/>
                <w:right w:w="28" w:type="dxa"/>
              </w:tblCellMar>
            </w:tblPr>
            <w:tblGrid>
              <w:gridCol w:w="3331"/>
            </w:tblGrid>
            <w:tr>
              <w:trPr/>
              <w:tc>
                <w:tcPr>
                  <w:tcW w:w="3331" w:type="dxa"/>
                  <w:tcBorders/>
                  <w:vAlign w:val="center"/>
                </w:tcPr>
                <w:p>
                  <w:pPr>
                    <w:pStyle w:val="TableContents"/>
                    <w:bidi w:val="0"/>
                    <w:spacing w:before="0" w:after="0"/>
                    <w:jc w:val="left"/>
                    <w:rPr/>
                  </w:pPr>
                  <w:r>
                    <w:rPr/>
                    <w:t>Tether Investments, S.A. de C.V.</w:t>
                  </w:r>
                </w:p>
              </w:tc>
            </w:tr>
          </w:tbl>
          <w:p>
            <w:pPr>
              <w:pStyle w:val="TableContents"/>
              <w:bidi w:val="0"/>
              <w:spacing w:before="0" w:after="283"/>
              <w:jc w:val="left"/>
              <w:rPr/>
            </w:pPr>
            <w:r>
              <w:rPr/>
            </w:r>
          </w:p>
        </w:tc>
        <w:tc>
          <w:tcPr>
            <w:tcW w:w="34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11"/>
        <w:gridCol w:w="4194"/>
      </w:tblGrid>
      <w:tr>
        <w:trPr/>
        <w:tc>
          <w:tcPr>
            <w:tcW w:w="601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Giancarlo Devasini</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Giancarlo Devasini, Sole Administrator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02/20/2026</w:t>
                  </w:r>
                </w:p>
              </w:tc>
            </w:tr>
          </w:tbl>
          <w:p>
            <w:pPr>
              <w:pStyle w:val="TableContents"/>
              <w:bidi w:val="0"/>
              <w:spacing w:before="0" w:after="283"/>
              <w:jc w:val="left"/>
              <w:rPr/>
            </w:pPr>
            <w:r>
              <w:rPr/>
            </w:r>
          </w:p>
        </w:tc>
        <w:tc>
          <w:tcPr>
            <w:tcW w:w="4194" w:type="dxa"/>
            <w:tcBorders/>
            <w:vAlign w:val="center"/>
          </w:tcPr>
          <w:p>
            <w:pPr>
              <w:pStyle w:val="TableContents"/>
              <w:bidi w:val="0"/>
              <w:spacing w:before="0" w:after="283"/>
              <w:jc w:val="left"/>
              <w:rPr>
                <w:sz w:val="4"/>
                <w:szCs w:val="4"/>
              </w:rPr>
            </w:pPr>
            <w:r>
              <w:rPr>
                <w:sz w:val="4"/>
                <w:szCs w:val="4"/>
              </w:rPr>
            </w:r>
          </w:p>
        </w:tc>
      </w:tr>
    </w:tbl>
    <w:tbl>
      <w:tblPr>
        <w:tblW w:w="4246" w:type="dxa"/>
        <w:jc w:val="left"/>
        <w:tblInd w:w="0" w:type="dxa"/>
        <w:tblLayout w:type="fixed"/>
        <w:tblCellMar>
          <w:top w:w="28" w:type="dxa"/>
          <w:left w:w="28" w:type="dxa"/>
          <w:bottom w:w="28" w:type="dxa"/>
          <w:right w:w="28" w:type="dxa"/>
        </w:tblCellMar>
      </w:tblPr>
      <w:tblGrid>
        <w:gridCol w:w="2123"/>
        <w:gridCol w:w="2123"/>
      </w:tblGrid>
      <w:tr>
        <w:trPr/>
        <w:tc>
          <w:tcPr>
            <w:tcW w:w="2123" w:type="dxa"/>
            <w:tcBorders/>
            <w:vAlign w:val="center"/>
          </w:tcPr>
          <w:p>
            <w:pPr>
              <w:pStyle w:val="TableContents"/>
              <w:bidi w:val="0"/>
              <w:spacing w:before="0" w:after="0"/>
              <w:jc w:val="left"/>
              <w:rPr/>
            </w:pPr>
            <w:r>
              <w:rPr/>
              <w:t>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spacing w:before="0" w:after="0"/>
                    <w:jc w:val="left"/>
                    <w:rPr/>
                  </w:pPr>
                  <w:r>
                    <w:rPr/>
                    <w:t>Giancarlo Devasini</w:t>
                  </w:r>
                </w:p>
              </w:tc>
            </w:tr>
          </w:tbl>
          <w:p>
            <w:pPr>
              <w:pStyle w:val="TableContents"/>
              <w:bidi w:val="0"/>
              <w:spacing w:before="0" w:after="283"/>
              <w:jc w:val="left"/>
              <w:rPr/>
            </w:pPr>
            <w:r>
              <w:rPr/>
            </w:r>
          </w:p>
        </w:tc>
        <w:tc>
          <w:tcPr>
            <w:tcW w:w="21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9"/>
        <w:gridCol w:w="4346"/>
      </w:tblGrid>
      <w:tr>
        <w:trPr/>
        <w:tc>
          <w:tcPr>
            <w:tcW w:w="585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Giancarlo Devasini</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Giancarlo Devasini, individually</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02/20/2026</w:t>
                  </w:r>
                </w:p>
              </w:tc>
            </w:tr>
          </w:tbl>
          <w:p>
            <w:pPr>
              <w:pStyle w:val="TableContents"/>
              <w:bidi w:val="0"/>
              <w:spacing w:before="0" w:after="283"/>
              <w:jc w:val="left"/>
              <w:rPr/>
            </w:pPr>
            <w:r>
              <w:rPr/>
            </w:r>
          </w:p>
        </w:tc>
        <w:tc>
          <w:tcPr>
            <w:tcW w:w="4346"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bookmarkStart w:id="22" w:name="tm266911d1_sc-a.htm"/>
      <w:bookmarkStart w:id="23" w:name="kstm266911d1_sca"/>
      <w:bookmarkEnd w:id="22"/>
      <w:bookmarkEnd w:id="23"/>
      <w:r>
        <w:rPr/>
        <w:t> </w:t>
      </w:r>
      <w:r>
        <w:br w:type="page"/>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Officers and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sets forth the name, country of citizenship, position and principal occupation of each executive officer and member of the board of directors of Tether Global Investments Fund, S.I.C.A.F., S.A., and Tether Investments, S.A. de C.V. Except as indicated below, none of the persons listed below has been convicted of a crime (other than traffic violations or similar misdemeanors) or been subject to proceedings pertaining to violations of securities laws within the past 5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Executive Officers and Directors of Tether Global Investments Fund, S.I.C.A.F., S.A.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00" w:type="dxa"/>
          <w:left w:w="40" w:type="dxa"/>
          <w:bottom w:w="200" w:type="dxa"/>
          <w:right w:w="40" w:type="dxa"/>
        </w:tblCellMar>
      </w:tblPr>
      <w:tblGrid>
        <w:gridCol w:w="1910"/>
        <w:gridCol w:w="1712"/>
        <w:gridCol w:w="1661"/>
        <w:gridCol w:w="4922"/>
      </w:tblGrid>
      <w:tr>
        <w:trPr/>
        <w:tc>
          <w:tcPr>
            <w:tcW w:w="191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Name and</w:t>
              <w:br/>
              <w:t>Citizenship</w:t>
            </w:r>
          </w:p>
        </w:tc>
        <w:tc>
          <w:tcPr>
            <w:tcW w:w="1712"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Position and</w:t>
              <w:br/>
              <w:t>Principal</w:t>
              <w:br/>
              <w:t>Occupation</w:t>
            </w:r>
          </w:p>
        </w:tc>
        <w:tc>
          <w:tcPr>
            <w:tcW w:w="1661"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Beneficial Ownership</w:t>
            </w:r>
          </w:p>
        </w:tc>
        <w:tc>
          <w:tcPr>
            <w:tcW w:w="4922"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Business Address</w:t>
            </w:r>
          </w:p>
        </w:tc>
      </w:tr>
      <w:tr>
        <w:trPr/>
        <w:tc>
          <w:tcPr>
            <w:tcW w:w="1910" w:type="dxa"/>
            <w:tcBorders>
              <w:left w:val="single" w:sz="8" w:space="0" w:color="000000"/>
              <w:bottom w:val="single" w:sz="8" w:space="0" w:color="000000"/>
              <w:right w:val="single" w:sz="8" w:space="0" w:color="000000"/>
            </w:tcBorders>
            <w:tcMar>
              <w:top w:w="0" w:type="dxa"/>
              <w:bottom w:w="40" w:type="dxa"/>
            </w:tcMar>
            <w:vAlign w:val="center"/>
          </w:tcPr>
          <w:p>
            <w:pPr>
              <w:pStyle w:val="TableContents"/>
              <w:bidi w:val="0"/>
              <w:spacing w:before="0" w:after="283"/>
              <w:jc w:val="left"/>
              <w:rPr/>
            </w:pPr>
            <w:r>
              <w:rPr/>
              <w:t>Omar Rossi,</w:t>
              <w:br/>
              <w:t>citizen of Switzerland</w:t>
            </w:r>
          </w:p>
        </w:tc>
        <w:tc>
          <w:tcPr>
            <w:tcW w:w="1712" w:type="dxa"/>
            <w:tcBorders>
              <w:bottom w:val="single" w:sz="8" w:space="0" w:color="000000"/>
              <w:right w:val="single" w:sz="8" w:space="0" w:color="000000"/>
            </w:tcBorders>
            <w:tcMar>
              <w:top w:w="0" w:type="dxa"/>
              <w:left w:w="0" w:type="dxa"/>
              <w:bottom w:w="40" w:type="dxa"/>
            </w:tcMar>
            <w:vAlign w:val="center"/>
          </w:tcPr>
          <w:p>
            <w:pPr>
              <w:pStyle w:val="TableContents"/>
              <w:bidi w:val="0"/>
              <w:spacing w:before="0" w:after="283"/>
              <w:jc w:val="left"/>
              <w:rPr/>
            </w:pPr>
            <w:r>
              <w:rPr/>
              <w:t>Sole Administrator</w:t>
            </w:r>
          </w:p>
        </w:tc>
        <w:tc>
          <w:tcPr>
            <w:tcW w:w="1661" w:type="dxa"/>
            <w:tcBorders>
              <w:bottom w:val="single" w:sz="8" w:space="0" w:color="000000"/>
              <w:right w:val="single" w:sz="8" w:space="0" w:color="000000"/>
            </w:tcBorders>
            <w:tcMar>
              <w:top w:w="0" w:type="dxa"/>
              <w:left w:w="0" w:type="dxa"/>
              <w:bottom w:w="40" w:type="dxa"/>
            </w:tcMar>
            <w:vAlign w:val="center"/>
          </w:tcPr>
          <w:p>
            <w:pPr>
              <w:pStyle w:val="TableContents"/>
              <w:bidi w:val="0"/>
              <w:spacing w:before="0" w:after="283"/>
              <w:jc w:val="left"/>
              <w:rPr/>
            </w:pPr>
            <w:r>
              <w:rPr/>
              <w:t>0</w:t>
            </w:r>
          </w:p>
        </w:tc>
        <w:tc>
          <w:tcPr>
            <w:tcW w:w="4922" w:type="dxa"/>
            <w:tcBorders>
              <w:bottom w:val="single" w:sz="8" w:space="0" w:color="000000"/>
              <w:right w:val="single" w:sz="8" w:space="0" w:color="000000"/>
            </w:tcBorders>
            <w:tcMar>
              <w:top w:w="0" w:type="dxa"/>
              <w:left w:w="0" w:type="dxa"/>
              <w:bottom w:w="40" w:type="dxa"/>
            </w:tcMar>
            <w:vAlign w:val="center"/>
          </w:tcPr>
          <w:p>
            <w:pPr>
              <w:pStyle w:val="TableContents"/>
              <w:bidi w:val="0"/>
              <w:spacing w:before="0" w:after="283"/>
              <w:jc w:val="left"/>
              <w:rPr/>
            </w:pPr>
            <w:r>
              <w:rPr/>
              <w:t>Final Av. La Revolucion,</w:t>
              <w:br/>
              <w:t>Colonia San Benito, Edif. Centro,</w:t>
              <w:br/>
              <w:t>Corporativo Presidente Plaza, Nivel 12, Oficina 2,</w:t>
              <w:br/>
              <w:t>Distrito de San Salvador, Municipio de San Salvador Centro,</w:t>
              <w:br/>
              <w:t>Republica de El Salvador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Executive Officers and Directors of Tether Investments, S.A. de C.V.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00" w:type="dxa"/>
          <w:left w:w="40" w:type="dxa"/>
          <w:bottom w:w="200" w:type="dxa"/>
          <w:right w:w="40" w:type="dxa"/>
        </w:tblCellMar>
      </w:tblPr>
      <w:tblGrid>
        <w:gridCol w:w="1717"/>
        <w:gridCol w:w="1796"/>
        <w:gridCol w:w="1713"/>
        <w:gridCol w:w="4979"/>
      </w:tblGrid>
      <w:tr>
        <w:trPr/>
        <w:tc>
          <w:tcPr>
            <w:tcW w:w="171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Name and Citizenship</w:t>
            </w:r>
          </w:p>
        </w:tc>
        <w:tc>
          <w:tcPr>
            <w:tcW w:w="1796"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Position and Principal</w:t>
              <w:br/>
              <w:t>Occupation</w:t>
            </w:r>
          </w:p>
        </w:tc>
        <w:tc>
          <w:tcPr>
            <w:tcW w:w="1713"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Beneficial Ownership</w:t>
            </w:r>
          </w:p>
        </w:tc>
        <w:tc>
          <w:tcPr>
            <w:tcW w:w="497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Business Address</w:t>
            </w:r>
          </w:p>
        </w:tc>
      </w:tr>
      <w:tr>
        <w:trPr/>
        <w:tc>
          <w:tcPr>
            <w:tcW w:w="1717" w:type="dxa"/>
            <w:tcBorders>
              <w:left w:val="single" w:sz="8" w:space="0" w:color="000000"/>
              <w:bottom w:val="single" w:sz="8" w:space="0" w:color="000000"/>
              <w:right w:val="single" w:sz="8" w:space="0" w:color="000000"/>
            </w:tcBorders>
            <w:tcMar>
              <w:top w:w="0" w:type="dxa"/>
              <w:bottom w:w="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Giancarlo Devasini,</w:t>
              <w:br/>
              <w:t>citizen of Italy</w:t>
            </w:r>
          </w:p>
        </w:tc>
        <w:tc>
          <w:tcPr>
            <w:tcW w:w="1796" w:type="dxa"/>
            <w:tcBorders>
              <w:bottom w:val="single" w:sz="8" w:space="0" w:color="000000"/>
              <w:right w:val="single" w:sz="8" w:space="0" w:color="000000"/>
            </w:tcBorders>
            <w:tcMar>
              <w:top w:w="0" w:type="dxa"/>
              <w:left w:w="0" w:type="dxa"/>
              <w:bottom w:w="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 Administrator</w:t>
            </w:r>
          </w:p>
        </w:tc>
        <w:tc>
          <w:tcPr>
            <w:tcW w:w="1713" w:type="dxa"/>
            <w:tcBorders>
              <w:bottom w:val="single" w:sz="8" w:space="0" w:color="000000"/>
              <w:right w:val="single" w:sz="8" w:space="0" w:color="000000"/>
            </w:tcBorders>
            <w:tcMar>
              <w:top w:w="0" w:type="dxa"/>
              <w:left w:w="0" w:type="dxa"/>
              <w:bottom w:w="40" w:type="dxa"/>
            </w:tcMar>
            <w:vAlign w:val="center"/>
          </w:tcPr>
          <w:p>
            <w:pPr>
              <w:pStyle w:val="TableContents"/>
              <w:bidi w:val="0"/>
              <w:spacing w:before="0" w:after="283"/>
              <w:jc w:val="left"/>
              <w:rPr/>
            </w:pPr>
            <w:r>
              <w:rPr/>
              <w:t>38,356,531</w:t>
            </w:r>
            <w:r>
              <w:rPr>
                <w:position w:val="8"/>
                <w:sz w:val="19"/>
              </w:rPr>
              <w:t>(1)</w:t>
            </w:r>
          </w:p>
        </w:tc>
        <w:tc>
          <w:tcPr>
            <w:tcW w:w="4979" w:type="dxa"/>
            <w:tcBorders>
              <w:bottom w:val="single" w:sz="8" w:space="0" w:color="000000"/>
              <w:right w:val="single" w:sz="8" w:space="0" w:color="000000"/>
            </w:tcBorders>
            <w:tcMar>
              <w:top w:w="0" w:type="dxa"/>
              <w:left w:w="0" w:type="dxa"/>
              <w:bottom w:w="40" w:type="dxa"/>
            </w:tcMar>
            <w:vAlign w:val="center"/>
          </w:tcPr>
          <w:p>
            <w:pPr>
              <w:pStyle w:val="TableContents"/>
              <w:bidi w:val="0"/>
              <w:spacing w:before="0" w:after="283"/>
              <w:jc w:val="left"/>
              <w:rPr/>
            </w:pPr>
            <w:r>
              <w:rPr/>
              <w:t xml:space="preserve">Final Av. La Revolucion, </w:t>
              <w:br/>
              <w:t>Colonia San Benito, Edif. Centro,</w:t>
              <w:br/>
              <w:t>Corporativo Presidente Plaza, Nivel 12, Oficina 2,</w:t>
              <w:br/>
              <w:t>Distrito de San Salvador, Municipio de San Salvador Centro,</w:t>
              <w:br/>
              <w:t>Republica de El Salvador</w:t>
            </w:r>
          </w:p>
        </w:tc>
      </w:tr>
      <w:tr>
        <w:trPr/>
        <w:tc>
          <w:tcPr>
            <w:tcW w:w="1717" w:type="dxa"/>
            <w:tcBorders>
              <w:left w:val="single" w:sz="8" w:space="0" w:color="000000"/>
              <w:bottom w:val="single" w:sz="8" w:space="0" w:color="000000"/>
              <w:right w:val="single" w:sz="8" w:space="0" w:color="000000"/>
            </w:tcBorders>
            <w:tcMar>
              <w:top w:w="0" w:type="dxa"/>
              <w:bottom w:w="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Paolo Ardoino,</w:t>
              <w:br/>
              <w:t>citizen of Italy</w:t>
            </w:r>
          </w:p>
        </w:tc>
        <w:tc>
          <w:tcPr>
            <w:tcW w:w="1796" w:type="dxa"/>
            <w:tcBorders>
              <w:bottom w:val="single" w:sz="8" w:space="0" w:color="000000"/>
              <w:right w:val="single" w:sz="8" w:space="0" w:color="000000"/>
            </w:tcBorders>
            <w:tcMar>
              <w:top w:w="0" w:type="dxa"/>
              <w:left w:w="0" w:type="dxa"/>
              <w:bottom w:w="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Alternate Administrator</w:t>
            </w:r>
          </w:p>
        </w:tc>
        <w:tc>
          <w:tcPr>
            <w:tcW w:w="1713" w:type="dxa"/>
            <w:tcBorders>
              <w:bottom w:val="single" w:sz="8" w:space="0" w:color="000000"/>
              <w:right w:val="single" w:sz="8" w:space="0" w:color="000000"/>
            </w:tcBorders>
            <w:tcMar>
              <w:top w:w="0" w:type="dxa"/>
              <w:left w:w="0" w:type="dxa"/>
              <w:bottom w:w="40" w:type="dxa"/>
            </w:tcMar>
            <w:vAlign w:val="center"/>
          </w:tcPr>
          <w:p>
            <w:pPr>
              <w:pStyle w:val="TableContents"/>
              <w:bidi w:val="0"/>
              <w:spacing w:before="0" w:after="283"/>
              <w:jc w:val="left"/>
              <w:rPr/>
            </w:pPr>
            <w:r>
              <w:rPr/>
              <w:t>0</w:t>
            </w:r>
          </w:p>
        </w:tc>
        <w:tc>
          <w:tcPr>
            <w:tcW w:w="4979" w:type="dxa"/>
            <w:tcBorders>
              <w:bottom w:val="single" w:sz="8" w:space="0" w:color="000000"/>
              <w:right w:val="single" w:sz="8" w:space="0" w:color="000000"/>
            </w:tcBorders>
            <w:tcMar>
              <w:top w:w="0" w:type="dxa"/>
              <w:left w:w="0" w:type="dxa"/>
              <w:bottom w:w="40" w:type="dxa"/>
            </w:tcMar>
            <w:vAlign w:val="center"/>
          </w:tcPr>
          <w:p>
            <w:pPr>
              <w:pStyle w:val="TableContents"/>
              <w:bidi w:val="0"/>
              <w:spacing w:before="0" w:after="283"/>
              <w:jc w:val="left"/>
              <w:rPr/>
            </w:pPr>
            <w:r>
              <w:rPr/>
              <w:t xml:space="preserve">Final Av. La Revolucion, </w:t>
              <w:br/>
              <w:t xml:space="preserve">Colonia San Benito, Edif. Centro, </w:t>
              <w:br/>
              <w:t>Corporativo Presidente Plaza, Nivel 12, Oficina 2,</w:t>
              <w:br/>
              <w:t>Distrito de San Salvador, Municipio de San Salvador Centro,</w:t>
              <w:br/>
              <w:t>Republica de El Salvador</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2"/>
        <w:gridCol w:w="9918"/>
      </w:tblGrid>
      <w:tr>
        <w:trPr/>
        <w:tc>
          <w:tcPr>
            <w:tcW w:w="75"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Includes the 38,356,531 Class A ordinary shares, par value $0.0000001 per share (“Class A Shares”) of Bitdeer Technologies Group held by Tether Investments S.A. de C.V., a wholly owned subsidiary of Tether Global Investments Fund, S.I.C.A.F., S.A.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2021, the U.S. Commodity Futures Trading Commission (CFTC) instituted and settled regulatory proceedings against Tether Holdings Limited (the predecessor of Tether Global Investments Fund, S.I.C.A.F., S.A.), Tether Limited, Tether Operations Limited, and Tether International Limited (collectively, “Tether”) by way of an order accepting Tether’s payment of a civil monetary penalty of $41 million without admitting or denying any of the CFTC’s findings or conclusions. The order settled CFTC allegations that, from June 2016 to February 2019, Tether made untrue or misleading statements and omissions of material fact or omitted to state material facts necessary to make statements made not true or misleading in connection with, among other things, whether USDT was fully backed by U.S. Dollars held in bank accounts in Tether’s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2021, the Office of the Attorney General of the State of New York (NYAG) entered into an agreement with Tether and several Bitfinex (a group of companies with which Tether is affiliated) companies, to settle a 2019 proceeding brought by NYAG seeking an injunction related to, among other things, the transfer of certain funds by and among Bitfinex and Tether. Without admitting or denying NYAG’s findings, Bitfinex and Tether agreed to settle the NYAG proceeding by paying $18.5 million in penalties to the State of New York. The agreement further required Bitfinex and Tether to discontinue any trading activity with New York persons or entities and to submit to mandatory reporting on certain business functions.</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 w:name="tm266911d1_sc-b.htm"/>
      <w:bookmarkStart w:id="25" w:name="kstm266911d1_scb"/>
      <w:bookmarkEnd w:id="24"/>
      <w:bookmarkEnd w:id="25"/>
      <w:r>
        <w:rPr>
          <w:rFonts w:ascii="Times New Roman;Times;Serif" w:hAnsi="Times New Roman;Times;Serif"/>
          <w:b/>
          <w:i w:val="false"/>
          <w:caps w:val="false"/>
          <w:smallCaps w:val="false"/>
          <w:sz w:val="20"/>
        </w:rPr>
        <w:t>Schedule B</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Transactions in Class A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lists all transactions completed by Tether Investments S.A. de C.V. in the Class A Shares since December 21, 2025, which were all completed through open market purchases:</w:t>
      </w:r>
    </w:p>
    <w:p>
      <w:pPr>
        <w:pStyle w:val="TextBody"/>
        <w:bidi w:val="0"/>
        <w:spacing w:before="0" w:after="0"/>
        <w:ind w:left="0" w:right="0" w:hanging="0"/>
        <w:jc w:val="left"/>
        <w:rPr>
          <w:caps w:val="false"/>
          <w:smallCaps w:val="false"/>
        </w:rPr>
      </w:pPr>
      <w:r>
        <w:rPr>
          <w:caps w:val="false"/>
          <w:smallCaps w:val="false"/>
        </w:rPr>
        <w:t> </w:t>
      </w:r>
    </w:p>
    <w:tbl>
      <w:tblPr>
        <w:tblW w:w="3495" w:type="dxa"/>
        <w:jc w:val="left"/>
        <w:tblInd w:w="-10" w:type="dxa"/>
        <w:tblLayout w:type="fixed"/>
        <w:tblCellMar>
          <w:top w:w="28" w:type="dxa"/>
          <w:left w:w="118" w:type="dxa"/>
          <w:bottom w:w="28" w:type="dxa"/>
          <w:right w:w="118" w:type="dxa"/>
        </w:tblCellMar>
      </w:tblPr>
      <w:tblGrid>
        <w:gridCol w:w="1790"/>
        <w:gridCol w:w="1010"/>
        <w:gridCol w:w="695"/>
      </w:tblGrid>
      <w:tr>
        <w:trPr/>
        <w:tc>
          <w:tcPr>
            <w:tcW w:w="179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Date</w:t>
            </w:r>
          </w:p>
        </w:tc>
        <w:tc>
          <w:tcPr>
            <w:tcW w:w="101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 Sold</w:t>
            </w:r>
          </w:p>
        </w:tc>
        <w:tc>
          <w:tcPr>
            <w:tcW w:w="69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Price</w:t>
            </w:r>
          </w:p>
        </w:tc>
      </w:tr>
      <w:tr>
        <w:trPr/>
        <w:tc>
          <w:tcPr>
            <w:tcW w:w="1790" w:type="dxa"/>
            <w:tcBorders>
              <w:left w:val="single" w:sz="8" w:space="0" w:color="000000"/>
              <w:bottom w:val="single" w:sz="8" w:space="0" w:color="000000"/>
              <w:right w:val="single" w:sz="8" w:space="0" w:color="000000"/>
            </w:tcBorders>
            <w:tcMar>
              <w:top w:w="0" w:type="dxa"/>
              <w:left w:w="108" w:type="dxa"/>
              <w:bottom w:w="40" w:type="dxa"/>
              <w:right w:w="108" w:type="dxa"/>
            </w:tcMar>
            <w:vAlign w:val="center"/>
          </w:tcPr>
          <w:p>
            <w:pPr>
              <w:pStyle w:val="TableContents"/>
              <w:bidi w:val="0"/>
              <w:spacing w:before="0" w:after="283"/>
              <w:jc w:val="left"/>
              <w:rPr/>
            </w:pPr>
            <w:r>
              <w:rPr/>
              <w:t>February 17, 2025</w:t>
            </w:r>
          </w:p>
        </w:tc>
        <w:tc>
          <w:tcPr>
            <w:tcW w:w="1010" w:type="dxa"/>
            <w:tcBorders>
              <w:bottom w:val="single" w:sz="8" w:space="0" w:color="000000"/>
              <w:right w:val="single" w:sz="8" w:space="0" w:color="000000"/>
            </w:tcBorders>
            <w:tcMar>
              <w:top w:w="0" w:type="dxa"/>
              <w:left w:w="0" w:type="dxa"/>
              <w:bottom w:w="40" w:type="dxa"/>
              <w:right w:w="108" w:type="dxa"/>
            </w:tcMar>
            <w:vAlign w:val="center"/>
          </w:tcPr>
          <w:p>
            <w:pPr>
              <w:pStyle w:val="TableContents"/>
              <w:bidi w:val="0"/>
              <w:spacing w:before="0" w:after="283"/>
              <w:jc w:val="right"/>
              <w:rPr/>
            </w:pPr>
            <w:r>
              <w:rPr/>
              <w:t>37,395</w:t>
            </w:r>
          </w:p>
        </w:tc>
        <w:tc>
          <w:tcPr>
            <w:tcW w:w="695" w:type="dxa"/>
            <w:tcBorders>
              <w:bottom w:val="single" w:sz="8" w:space="0" w:color="000000"/>
              <w:right w:val="single" w:sz="8" w:space="0" w:color="000000"/>
            </w:tcBorders>
            <w:tcMar>
              <w:top w:w="0" w:type="dxa"/>
              <w:left w:w="0" w:type="dxa"/>
              <w:bottom w:w="40" w:type="dxa"/>
              <w:right w:w="108" w:type="dxa"/>
            </w:tcMar>
            <w:vAlign w:val="center"/>
          </w:tcPr>
          <w:p>
            <w:pPr>
              <w:pStyle w:val="TableContents"/>
              <w:bidi w:val="0"/>
              <w:spacing w:before="0" w:after="283"/>
              <w:jc w:val="right"/>
              <w:rPr/>
            </w:pPr>
            <w:r>
              <w:rPr/>
              <w:t>9.8306</w:t>
            </w:r>
          </w:p>
        </w:tc>
      </w:tr>
      <w:tr>
        <w:trPr/>
        <w:tc>
          <w:tcPr>
            <w:tcW w:w="1790" w:type="dxa"/>
            <w:tcBorders>
              <w:left w:val="single" w:sz="8" w:space="0" w:color="000000"/>
              <w:bottom w:val="single" w:sz="8" w:space="0" w:color="000000"/>
              <w:right w:val="single" w:sz="8" w:space="0" w:color="000000"/>
            </w:tcBorders>
            <w:tcMar>
              <w:top w:w="0" w:type="dxa"/>
              <w:left w:w="108" w:type="dxa"/>
              <w:bottom w:w="40" w:type="dxa"/>
              <w:right w:w="108" w:type="dxa"/>
            </w:tcMar>
            <w:vAlign w:val="center"/>
          </w:tcPr>
          <w:p>
            <w:pPr>
              <w:pStyle w:val="TableContents"/>
              <w:bidi w:val="0"/>
              <w:spacing w:before="0" w:after="283"/>
              <w:jc w:val="left"/>
              <w:rPr/>
            </w:pPr>
            <w:r>
              <w:rPr/>
              <w:t>February 17, 2025</w:t>
            </w:r>
          </w:p>
        </w:tc>
        <w:tc>
          <w:tcPr>
            <w:tcW w:w="1010" w:type="dxa"/>
            <w:tcBorders>
              <w:bottom w:val="single" w:sz="8" w:space="0" w:color="000000"/>
              <w:right w:val="single" w:sz="8" w:space="0" w:color="000000"/>
            </w:tcBorders>
            <w:tcMar>
              <w:top w:w="0" w:type="dxa"/>
              <w:left w:w="0" w:type="dxa"/>
              <w:bottom w:w="40" w:type="dxa"/>
              <w:right w:w="108" w:type="dxa"/>
            </w:tcMar>
            <w:vAlign w:val="center"/>
          </w:tcPr>
          <w:p>
            <w:pPr>
              <w:pStyle w:val="TableContents"/>
              <w:bidi w:val="0"/>
              <w:spacing w:before="0" w:after="283"/>
              <w:jc w:val="right"/>
              <w:rPr/>
            </w:pPr>
            <w:r>
              <w:rPr/>
              <w:t>970,940</w:t>
            </w:r>
          </w:p>
        </w:tc>
        <w:tc>
          <w:tcPr>
            <w:tcW w:w="695" w:type="dxa"/>
            <w:tcBorders>
              <w:bottom w:val="single" w:sz="8" w:space="0" w:color="000000"/>
              <w:right w:val="single" w:sz="8" w:space="0" w:color="000000"/>
            </w:tcBorders>
            <w:tcMar>
              <w:top w:w="0" w:type="dxa"/>
              <w:left w:w="0" w:type="dxa"/>
              <w:bottom w:w="40" w:type="dxa"/>
              <w:right w:w="108" w:type="dxa"/>
            </w:tcMar>
            <w:vAlign w:val="center"/>
          </w:tcPr>
          <w:p>
            <w:pPr>
              <w:pStyle w:val="TableContents"/>
              <w:bidi w:val="0"/>
              <w:spacing w:before="0" w:after="283"/>
              <w:jc w:val="right"/>
              <w:rPr/>
            </w:pPr>
            <w:r>
              <w:rPr/>
              <w:t>9.6219</w:t>
            </w:r>
          </w:p>
        </w:tc>
      </w:tr>
      <w:tr>
        <w:trPr/>
        <w:tc>
          <w:tcPr>
            <w:tcW w:w="1790" w:type="dxa"/>
            <w:tcBorders>
              <w:left w:val="single" w:sz="8" w:space="0" w:color="000000"/>
              <w:bottom w:val="single" w:sz="8" w:space="0" w:color="000000"/>
              <w:right w:val="single" w:sz="8" w:space="0" w:color="000000"/>
            </w:tcBorders>
            <w:tcMar>
              <w:top w:w="0" w:type="dxa"/>
              <w:left w:w="108" w:type="dxa"/>
              <w:bottom w:w="40" w:type="dxa"/>
              <w:right w:w="108" w:type="dxa"/>
            </w:tcMar>
            <w:vAlign w:val="center"/>
          </w:tcPr>
          <w:p>
            <w:pPr>
              <w:pStyle w:val="TableContents"/>
              <w:bidi w:val="0"/>
              <w:spacing w:before="0" w:after="283"/>
              <w:jc w:val="left"/>
              <w:rPr/>
            </w:pPr>
            <w:r>
              <w:rPr/>
              <w:t>February 17, 2025</w:t>
            </w:r>
          </w:p>
        </w:tc>
        <w:tc>
          <w:tcPr>
            <w:tcW w:w="1010" w:type="dxa"/>
            <w:tcBorders>
              <w:bottom w:val="single" w:sz="8" w:space="0" w:color="000000"/>
              <w:right w:val="single" w:sz="8" w:space="0" w:color="000000"/>
            </w:tcBorders>
            <w:tcMar>
              <w:top w:w="0" w:type="dxa"/>
              <w:left w:w="0" w:type="dxa"/>
              <w:bottom w:w="40" w:type="dxa"/>
              <w:right w:w="108" w:type="dxa"/>
            </w:tcMar>
            <w:vAlign w:val="center"/>
          </w:tcPr>
          <w:p>
            <w:pPr>
              <w:pStyle w:val="TableContents"/>
              <w:bidi w:val="0"/>
              <w:spacing w:before="0" w:after="283"/>
              <w:jc w:val="right"/>
              <w:rPr/>
            </w:pPr>
            <w:r>
              <w:rPr/>
              <w:t>124,888</w:t>
            </w:r>
          </w:p>
        </w:tc>
        <w:tc>
          <w:tcPr>
            <w:tcW w:w="695" w:type="dxa"/>
            <w:tcBorders>
              <w:bottom w:val="single" w:sz="8" w:space="0" w:color="000000"/>
              <w:right w:val="single" w:sz="8" w:space="0" w:color="000000"/>
            </w:tcBorders>
            <w:tcMar>
              <w:top w:w="0" w:type="dxa"/>
              <w:left w:w="0" w:type="dxa"/>
              <w:bottom w:w="40" w:type="dxa"/>
              <w:right w:w="108" w:type="dxa"/>
            </w:tcMar>
            <w:vAlign w:val="center"/>
          </w:tcPr>
          <w:p>
            <w:pPr>
              <w:pStyle w:val="TableContents"/>
              <w:bidi w:val="0"/>
              <w:spacing w:before="0" w:after="283"/>
              <w:jc w:val="right"/>
              <w:rPr/>
            </w:pPr>
            <w:r>
              <w:rPr/>
              <w:t>9.4986</w:t>
            </w:r>
          </w:p>
        </w:tc>
      </w:tr>
      <w:tr>
        <w:trPr/>
        <w:tc>
          <w:tcPr>
            <w:tcW w:w="1790" w:type="dxa"/>
            <w:tcBorders>
              <w:left w:val="single" w:sz="8" w:space="0" w:color="000000"/>
              <w:bottom w:val="single" w:sz="8" w:space="0" w:color="000000"/>
              <w:right w:val="single" w:sz="8" w:space="0" w:color="000000"/>
            </w:tcBorders>
            <w:tcMar>
              <w:top w:w="0" w:type="dxa"/>
              <w:left w:w="108" w:type="dxa"/>
              <w:bottom w:w="40" w:type="dxa"/>
              <w:right w:w="108" w:type="dxa"/>
            </w:tcMar>
            <w:vAlign w:val="center"/>
          </w:tcPr>
          <w:p>
            <w:pPr>
              <w:pStyle w:val="TableContents"/>
              <w:bidi w:val="0"/>
              <w:spacing w:before="0" w:after="283"/>
              <w:jc w:val="left"/>
              <w:rPr/>
            </w:pPr>
            <w:r>
              <w:rPr/>
              <w:t>February 18, 2025</w:t>
            </w:r>
          </w:p>
        </w:tc>
        <w:tc>
          <w:tcPr>
            <w:tcW w:w="1010" w:type="dxa"/>
            <w:tcBorders>
              <w:bottom w:val="single" w:sz="8" w:space="0" w:color="000000"/>
              <w:right w:val="single" w:sz="8" w:space="0" w:color="000000"/>
            </w:tcBorders>
            <w:tcMar>
              <w:top w:w="0" w:type="dxa"/>
              <w:left w:w="0" w:type="dxa"/>
              <w:bottom w:w="40" w:type="dxa"/>
              <w:right w:w="108" w:type="dxa"/>
            </w:tcMar>
            <w:vAlign w:val="center"/>
          </w:tcPr>
          <w:p>
            <w:pPr>
              <w:pStyle w:val="TableContents"/>
              <w:bidi w:val="0"/>
              <w:spacing w:before="0" w:after="283"/>
              <w:jc w:val="right"/>
              <w:rPr/>
            </w:pPr>
            <w:r>
              <w:rPr/>
              <w:t>101,187</w:t>
            </w:r>
          </w:p>
        </w:tc>
        <w:tc>
          <w:tcPr>
            <w:tcW w:w="695" w:type="dxa"/>
            <w:tcBorders>
              <w:bottom w:val="single" w:sz="8" w:space="0" w:color="000000"/>
              <w:right w:val="single" w:sz="8" w:space="0" w:color="000000"/>
            </w:tcBorders>
            <w:tcMar>
              <w:top w:w="0" w:type="dxa"/>
              <w:left w:w="0" w:type="dxa"/>
              <w:bottom w:w="40" w:type="dxa"/>
              <w:right w:w="10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9.5168</w:t>
            </w:r>
          </w:p>
        </w:tc>
      </w:tr>
      <w:tr>
        <w:trPr/>
        <w:tc>
          <w:tcPr>
            <w:tcW w:w="1790" w:type="dxa"/>
            <w:tcBorders>
              <w:left w:val="single" w:sz="8" w:space="0" w:color="000000"/>
              <w:bottom w:val="single" w:sz="8" w:space="0" w:color="000000"/>
              <w:right w:val="single" w:sz="8" w:space="0" w:color="000000"/>
            </w:tcBorders>
            <w:tcMar>
              <w:top w:w="0" w:type="dxa"/>
              <w:left w:w="108" w:type="dxa"/>
              <w:bottom w:w="40" w:type="dxa"/>
              <w:right w:w="108" w:type="dxa"/>
            </w:tcMar>
            <w:vAlign w:val="center"/>
          </w:tcPr>
          <w:p>
            <w:pPr>
              <w:pStyle w:val="TableContents"/>
              <w:bidi w:val="0"/>
              <w:spacing w:before="0" w:after="283"/>
              <w:jc w:val="left"/>
              <w:rPr/>
            </w:pPr>
            <w:r>
              <w:rPr/>
              <w:t>February 19, 2025</w:t>
            </w:r>
          </w:p>
        </w:tc>
        <w:tc>
          <w:tcPr>
            <w:tcW w:w="1010" w:type="dxa"/>
            <w:tcBorders>
              <w:bottom w:val="single" w:sz="8" w:space="0" w:color="000000"/>
              <w:right w:val="single" w:sz="8" w:space="0" w:color="000000"/>
            </w:tcBorders>
            <w:tcMar>
              <w:top w:w="0" w:type="dxa"/>
              <w:left w:w="0" w:type="dxa"/>
              <w:bottom w:w="40" w:type="dxa"/>
              <w:right w:w="108" w:type="dxa"/>
            </w:tcMar>
            <w:vAlign w:val="center"/>
          </w:tcPr>
          <w:p>
            <w:pPr>
              <w:pStyle w:val="TableContents"/>
              <w:bidi w:val="0"/>
              <w:spacing w:before="0" w:after="283"/>
              <w:jc w:val="right"/>
              <w:rPr/>
            </w:pPr>
            <w:r>
              <w:rPr/>
              <w:t>773,925</w:t>
            </w:r>
          </w:p>
        </w:tc>
        <w:tc>
          <w:tcPr>
            <w:tcW w:w="695" w:type="dxa"/>
            <w:tcBorders>
              <w:bottom w:val="single" w:sz="8" w:space="0" w:color="000000"/>
              <w:right w:val="single" w:sz="8" w:space="0" w:color="000000"/>
            </w:tcBorders>
            <w:tcMar>
              <w:top w:w="0" w:type="dxa"/>
              <w:left w:w="0" w:type="dxa"/>
              <w:bottom w:w="40" w:type="dxa"/>
              <w:right w:w="108" w:type="dxa"/>
            </w:tcMar>
            <w:vAlign w:val="center"/>
          </w:tcPr>
          <w:p>
            <w:pPr>
              <w:pStyle w:val="TableContents"/>
              <w:bidi w:val="0"/>
              <w:spacing w:before="0" w:after="283"/>
              <w:jc w:val="right"/>
              <w:rPr/>
            </w:pPr>
            <w:r>
              <w:rPr/>
              <w:t>8.0128</w:t>
            </w:r>
          </w:p>
        </w:tc>
      </w:tr>
      <w:tr>
        <w:trPr/>
        <w:tc>
          <w:tcPr>
            <w:tcW w:w="1790" w:type="dxa"/>
            <w:tcBorders>
              <w:left w:val="single" w:sz="8" w:space="0" w:color="000000"/>
              <w:bottom w:val="single" w:sz="8" w:space="0" w:color="000000"/>
              <w:right w:val="single" w:sz="8" w:space="0" w:color="000000"/>
            </w:tcBorders>
            <w:tcMar>
              <w:top w:w="0" w:type="dxa"/>
              <w:left w:w="108" w:type="dxa"/>
              <w:bottom w:w="40" w:type="dxa"/>
              <w:right w:w="108" w:type="dxa"/>
            </w:tcMar>
            <w:vAlign w:val="center"/>
          </w:tcPr>
          <w:p>
            <w:pPr>
              <w:pStyle w:val="TableContents"/>
              <w:bidi w:val="0"/>
              <w:spacing w:before="0" w:after="283"/>
              <w:jc w:val="left"/>
              <w:rPr/>
            </w:pPr>
            <w:r>
              <w:rPr/>
              <w:t>February 19, 2025</w:t>
            </w:r>
          </w:p>
        </w:tc>
        <w:tc>
          <w:tcPr>
            <w:tcW w:w="1010" w:type="dxa"/>
            <w:tcBorders>
              <w:bottom w:val="single" w:sz="8" w:space="0" w:color="000000"/>
              <w:right w:val="single" w:sz="8" w:space="0" w:color="000000"/>
            </w:tcBorders>
            <w:tcMar>
              <w:top w:w="0" w:type="dxa"/>
              <w:left w:w="0" w:type="dxa"/>
              <w:bottom w:w="40" w:type="dxa"/>
              <w:right w:w="108" w:type="dxa"/>
            </w:tcMar>
            <w:vAlign w:val="center"/>
          </w:tcPr>
          <w:p>
            <w:pPr>
              <w:pStyle w:val="TableContents"/>
              <w:bidi w:val="0"/>
              <w:spacing w:before="0" w:after="283"/>
              <w:jc w:val="right"/>
              <w:rPr/>
            </w:pPr>
            <w:r>
              <w:rPr/>
              <w:t>1,000,000</w:t>
            </w:r>
          </w:p>
        </w:tc>
        <w:tc>
          <w:tcPr>
            <w:tcW w:w="695" w:type="dxa"/>
            <w:tcBorders>
              <w:bottom w:val="single" w:sz="8" w:space="0" w:color="000000"/>
              <w:right w:val="single" w:sz="8" w:space="0" w:color="000000"/>
            </w:tcBorders>
            <w:tcMar>
              <w:top w:w="0" w:type="dxa"/>
              <w:left w:w="0" w:type="dxa"/>
              <w:bottom w:w="40" w:type="dxa"/>
              <w:right w:w="108" w:type="dxa"/>
            </w:tcMar>
            <w:vAlign w:val="center"/>
          </w:tcPr>
          <w:p>
            <w:pPr>
              <w:pStyle w:val="TableContents"/>
              <w:bidi w:val="0"/>
              <w:spacing w:before="0" w:after="283"/>
              <w:jc w:val="right"/>
              <w:rPr/>
            </w:pPr>
            <w:r>
              <w:rPr/>
              <w:t>8.0218</w:t>
            </w:r>
          </w:p>
        </w:tc>
      </w:tr>
      <w:tr>
        <w:trPr/>
        <w:tc>
          <w:tcPr>
            <w:tcW w:w="1790" w:type="dxa"/>
            <w:tcBorders>
              <w:left w:val="single" w:sz="8" w:space="0" w:color="000000"/>
              <w:bottom w:val="single" w:sz="8" w:space="0" w:color="000000"/>
              <w:right w:val="single" w:sz="8" w:space="0" w:color="000000"/>
            </w:tcBorders>
            <w:tcMar>
              <w:top w:w="0" w:type="dxa"/>
              <w:left w:w="108" w:type="dxa"/>
              <w:bottom w:w="40" w:type="dxa"/>
              <w:right w:w="108" w:type="dxa"/>
            </w:tcMar>
            <w:vAlign w:val="center"/>
          </w:tcPr>
          <w:p>
            <w:pPr>
              <w:pStyle w:val="TableContents"/>
              <w:bidi w:val="0"/>
              <w:spacing w:before="0" w:after="283"/>
              <w:jc w:val="left"/>
              <w:rPr/>
            </w:pPr>
            <w:r>
              <w:rPr/>
              <w:t>February 19, 2025</w:t>
            </w:r>
          </w:p>
        </w:tc>
        <w:tc>
          <w:tcPr>
            <w:tcW w:w="1010" w:type="dxa"/>
            <w:tcBorders>
              <w:bottom w:val="single" w:sz="8" w:space="0" w:color="000000"/>
              <w:right w:val="single" w:sz="8" w:space="0" w:color="000000"/>
            </w:tcBorders>
            <w:tcMar>
              <w:top w:w="0" w:type="dxa"/>
              <w:left w:w="0" w:type="dxa"/>
              <w:bottom w:w="40" w:type="dxa"/>
              <w:right w:w="108" w:type="dxa"/>
            </w:tcMar>
            <w:vAlign w:val="center"/>
          </w:tcPr>
          <w:p>
            <w:pPr>
              <w:pStyle w:val="TableContents"/>
              <w:bidi w:val="0"/>
              <w:spacing w:before="0" w:after="283"/>
              <w:jc w:val="right"/>
              <w:rPr/>
            </w:pPr>
            <w:r>
              <w:rPr/>
              <w:t>2,000,000</w:t>
            </w:r>
          </w:p>
        </w:tc>
        <w:tc>
          <w:tcPr>
            <w:tcW w:w="695" w:type="dxa"/>
            <w:tcBorders>
              <w:bottom w:val="single" w:sz="8" w:space="0" w:color="000000"/>
              <w:right w:val="single" w:sz="8" w:space="0" w:color="000000"/>
            </w:tcBorders>
            <w:tcMar>
              <w:top w:w="0" w:type="dxa"/>
              <w:left w:w="0" w:type="dxa"/>
              <w:bottom w:w="40" w:type="dxa"/>
              <w:right w:w="108" w:type="dxa"/>
            </w:tcMar>
            <w:vAlign w:val="center"/>
          </w:tcPr>
          <w:p>
            <w:pPr>
              <w:pStyle w:val="TableContents"/>
              <w:bidi w:val="0"/>
              <w:spacing w:before="0" w:after="283"/>
              <w:jc w:val="right"/>
              <w:rPr/>
            </w:pPr>
            <w:r>
              <w:rPr/>
              <w:t>8.0118</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6" w:name="tm266911d1_ex1.htm"/>
      <w:bookmarkStart w:id="27" w:name="kstm266911d1_ex1"/>
      <w:bookmarkEnd w:id="26"/>
      <w:bookmarkEnd w:id="27"/>
      <w:r>
        <w:rPr>
          <w:rFonts w:ascii="Times New Roman;Times;Serif" w:hAnsi="Times New Roman;Times;Serif"/>
          <w:b/>
          <w:i w:val="false"/>
          <w:caps w:val="false"/>
          <w:smallCaps w:val="false"/>
          <w:sz w:val="20"/>
        </w:rPr>
        <w:t>EXHIBIT 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Filing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13d-1(k) promulgated under the Securities Exchange Act of 1934, as amended, each of the persons named below agrees to the joint filing of this Amendment to Schedule 13D, including further amendments thereto, with respect to the Class A ordinary shares, par value $0.0000001 per share, of Bitdeer Technologies Group and further agrees that this Joint Filing Agreement be filed with the Securities and Exchange Commission as an exhibit to such filing; provided, however, that no person shall be responsible for the completeness or accuracy of the information concerning the other persons making the filing unless such person knows or has reason to believe such information is inaccurate (as provided in Rule 13d-1(k)(1)(ii)). This Joint Filing Agreement may be executed in one or more counterparts, all of which together shall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persons named below have executed this Joint Filing Agreement as of the date set forth below.</w:t>
      </w:r>
    </w:p>
    <w:p>
      <w:pPr>
        <w:pStyle w:val="TextBody"/>
        <w:bidi w:val="0"/>
        <w:spacing w:before="0" w:after="0"/>
        <w:ind w:left="0" w:right="0" w:hanging="0"/>
        <w:jc w:val="left"/>
        <w:rPr>
          <w:caps w:val="false"/>
          <w:smallCaps w:val="false"/>
        </w:rPr>
      </w:pPr>
      <w:r>
        <w:rPr>
          <w:caps w:val="false"/>
          <w:smallCaps w:val="false"/>
        </w:rPr>
        <w:t> </w:t>
      </w:r>
    </w:p>
    <w:tbl>
      <w:tblPr>
        <w:tblW w:w="5134" w:type="dxa"/>
        <w:jc w:val="left"/>
        <w:tblInd w:w="0" w:type="dxa"/>
        <w:tblLayout w:type="fixed"/>
        <w:tblCellMar>
          <w:top w:w="0" w:type="dxa"/>
          <w:left w:w="0" w:type="dxa"/>
          <w:bottom w:w="0" w:type="dxa"/>
          <w:right w:w="0" w:type="dxa"/>
        </w:tblCellMar>
      </w:tblPr>
      <w:tblGrid>
        <w:gridCol w:w="75"/>
        <w:gridCol w:w="1144"/>
        <w:gridCol w:w="3915"/>
      </w:tblGrid>
      <w:tr>
        <w:trPr/>
        <w:tc>
          <w:tcPr>
            <w:tcW w:w="75" w:type="dxa"/>
            <w:tcBorders/>
            <w:vAlign w:val="center"/>
          </w:tcPr>
          <w:p>
            <w:pPr>
              <w:pStyle w:val="TableContents"/>
              <w:bidi w:val="0"/>
              <w:spacing w:before="0" w:after="283"/>
              <w:jc w:val="left"/>
              <w:rPr/>
            </w:pPr>
            <w:r>
              <w:rPr/>
              <w:t> </w:t>
            </w:r>
          </w:p>
        </w:tc>
        <w:tc>
          <w:tcPr>
            <w:tcW w:w="5059" w:type="dxa"/>
            <w:gridSpan w:val="2"/>
            <w:tcBorders/>
            <w:vAlign w:val="center"/>
          </w:tcPr>
          <w:p>
            <w:pPr>
              <w:pStyle w:val="TableContents"/>
              <w:bidi w:val="0"/>
              <w:spacing w:before="0" w:after="283"/>
              <w:jc w:val="left"/>
              <w:rPr>
                <w:b/>
              </w:rPr>
            </w:pPr>
            <w:r>
              <w:rPr>
                <w:b/>
              </w:rPr>
              <w:t>Tether Global Investments Fund, S.I.C.A.F., S.A.</w:t>
            </w:r>
          </w:p>
        </w:tc>
      </w:tr>
      <w:tr>
        <w:trPr/>
        <w:tc>
          <w:tcPr>
            <w:tcW w:w="75" w:type="dxa"/>
            <w:tcBorders/>
            <w:vAlign w:val="center"/>
          </w:tcPr>
          <w:p>
            <w:pPr>
              <w:pStyle w:val="TableContents"/>
              <w:bidi w:val="0"/>
              <w:spacing w:before="0" w:after="283"/>
              <w:jc w:val="left"/>
              <w:rPr/>
            </w:pPr>
            <w:r>
              <w:rPr/>
              <w:t> </w:t>
            </w:r>
          </w:p>
        </w:tc>
        <w:tc>
          <w:tcPr>
            <w:tcW w:w="505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59" w:type="dxa"/>
            <w:gridSpan w:val="2"/>
            <w:tcBorders>
              <w:bottom w:val="single" w:sz="8" w:space="0" w:color="000000"/>
            </w:tcBorders>
            <w:tcMar>
              <w:bottom w:w="28" w:type="dxa"/>
            </w:tcMar>
            <w:vAlign w:val="center"/>
          </w:tcPr>
          <w:p>
            <w:pPr>
              <w:pStyle w:val="TableContents"/>
              <w:bidi w:val="0"/>
              <w:spacing w:before="0" w:after="283"/>
              <w:jc w:val="left"/>
              <w:rPr/>
            </w:pPr>
            <w:r>
              <w:rPr/>
              <w:t>/s/ Omar Rossi</w:t>
            </w:r>
          </w:p>
        </w:tc>
      </w:tr>
      <w:tr>
        <w:trPr/>
        <w:tc>
          <w:tcPr>
            <w:tcW w:w="75" w:type="dxa"/>
            <w:tcBorders/>
            <w:vAlign w:val="center"/>
          </w:tcPr>
          <w:p>
            <w:pPr>
              <w:pStyle w:val="TableContents"/>
              <w:bidi w:val="0"/>
              <w:spacing w:before="0" w:after="283"/>
              <w:jc w:val="left"/>
              <w:rPr/>
            </w:pPr>
            <w:r>
              <w:rPr/>
              <w:t> </w:t>
            </w:r>
          </w:p>
        </w:tc>
        <w:tc>
          <w:tcPr>
            <w:tcW w:w="1144" w:type="dxa"/>
            <w:tcBorders/>
            <w:vAlign w:val="center"/>
          </w:tcPr>
          <w:p>
            <w:pPr>
              <w:pStyle w:val="TableContents"/>
              <w:bidi w:val="0"/>
              <w:spacing w:before="0" w:after="283"/>
              <w:jc w:val="left"/>
              <w:rPr>
                <w:sz w:val="20"/>
              </w:rPr>
            </w:pPr>
            <w:r>
              <w:rPr>
                <w:sz w:val="20"/>
              </w:rPr>
              <w:t>Name:</w:t>
            </w:r>
          </w:p>
        </w:tc>
        <w:tc>
          <w:tcPr>
            <w:tcW w:w="3915" w:type="dxa"/>
            <w:tcBorders/>
            <w:vAlign w:val="center"/>
          </w:tcPr>
          <w:p>
            <w:pPr>
              <w:pStyle w:val="TableContents"/>
              <w:bidi w:val="0"/>
              <w:spacing w:before="0" w:after="283"/>
              <w:jc w:val="left"/>
              <w:rPr/>
            </w:pPr>
            <w:r>
              <w:rPr/>
              <w:t>Omar Rossi</w:t>
            </w:r>
          </w:p>
        </w:tc>
      </w:tr>
      <w:tr>
        <w:trPr/>
        <w:tc>
          <w:tcPr>
            <w:tcW w:w="75" w:type="dxa"/>
            <w:tcBorders/>
            <w:vAlign w:val="center"/>
          </w:tcPr>
          <w:p>
            <w:pPr>
              <w:pStyle w:val="TableContents"/>
              <w:bidi w:val="0"/>
              <w:spacing w:before="0" w:after="283"/>
              <w:jc w:val="left"/>
              <w:rPr/>
            </w:pPr>
            <w:r>
              <w:rPr/>
              <w:t> </w:t>
            </w:r>
          </w:p>
        </w:tc>
        <w:tc>
          <w:tcPr>
            <w:tcW w:w="1144" w:type="dxa"/>
            <w:tcBorders/>
            <w:vAlign w:val="center"/>
          </w:tcPr>
          <w:p>
            <w:pPr>
              <w:pStyle w:val="TableContents"/>
              <w:bidi w:val="0"/>
              <w:spacing w:before="0" w:after="283"/>
              <w:jc w:val="left"/>
              <w:rPr>
                <w:sz w:val="20"/>
              </w:rPr>
            </w:pPr>
            <w:r>
              <w:rPr>
                <w:sz w:val="20"/>
              </w:rPr>
              <w:t>Title:</w:t>
            </w:r>
          </w:p>
        </w:tc>
        <w:tc>
          <w:tcPr>
            <w:tcW w:w="3915" w:type="dxa"/>
            <w:tcBorders/>
            <w:vAlign w:val="center"/>
          </w:tcPr>
          <w:p>
            <w:pPr>
              <w:pStyle w:val="TableContents"/>
              <w:bidi w:val="0"/>
              <w:spacing w:before="0" w:after="283"/>
              <w:jc w:val="left"/>
              <w:rPr/>
            </w:pPr>
            <w:r>
              <w:rPr/>
              <w:t>Sole Administrator</w:t>
            </w:r>
          </w:p>
        </w:tc>
      </w:tr>
      <w:tr>
        <w:trPr/>
        <w:tc>
          <w:tcPr>
            <w:tcW w:w="75" w:type="dxa"/>
            <w:tcBorders/>
            <w:vAlign w:val="center"/>
          </w:tcPr>
          <w:p>
            <w:pPr>
              <w:pStyle w:val="TableContents"/>
              <w:bidi w:val="0"/>
              <w:spacing w:before="0" w:after="283"/>
              <w:jc w:val="left"/>
              <w:rPr/>
            </w:pPr>
            <w:r>
              <w:rPr/>
              <w:t> </w:t>
            </w:r>
          </w:p>
        </w:tc>
        <w:tc>
          <w:tcPr>
            <w:tcW w:w="505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59" w:type="dxa"/>
            <w:gridSpan w:val="2"/>
            <w:tcBorders/>
            <w:vAlign w:val="center"/>
          </w:tcPr>
          <w:p>
            <w:pPr>
              <w:pStyle w:val="TableContents"/>
              <w:bidi w:val="0"/>
              <w:spacing w:before="0" w:after="283"/>
              <w:jc w:val="left"/>
              <w:rPr>
                <w:b/>
              </w:rPr>
            </w:pPr>
            <w:r>
              <w:rPr>
                <w:b/>
              </w:rPr>
              <w:t>TETHER INVESTMENTS, S.A. DE C.V.</w:t>
            </w:r>
          </w:p>
        </w:tc>
      </w:tr>
      <w:tr>
        <w:trPr/>
        <w:tc>
          <w:tcPr>
            <w:tcW w:w="75" w:type="dxa"/>
            <w:tcBorders/>
            <w:vAlign w:val="center"/>
          </w:tcPr>
          <w:p>
            <w:pPr>
              <w:pStyle w:val="TableContents"/>
              <w:bidi w:val="0"/>
              <w:spacing w:before="0" w:after="283"/>
              <w:jc w:val="left"/>
              <w:rPr/>
            </w:pPr>
            <w:r>
              <w:rPr/>
              <w:t> </w:t>
            </w:r>
          </w:p>
        </w:tc>
        <w:tc>
          <w:tcPr>
            <w:tcW w:w="505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59" w:type="dxa"/>
            <w:gridSpan w:val="2"/>
            <w:tcBorders>
              <w:bottom w:val="single" w:sz="8" w:space="0" w:color="000000"/>
            </w:tcBorders>
            <w:tcMar>
              <w:bottom w:w="28" w:type="dxa"/>
            </w:tcMar>
            <w:vAlign w:val="center"/>
          </w:tcPr>
          <w:p>
            <w:pPr>
              <w:pStyle w:val="TableContents"/>
              <w:bidi w:val="0"/>
              <w:spacing w:before="0" w:after="283"/>
              <w:jc w:val="left"/>
              <w:rPr/>
            </w:pPr>
            <w:r>
              <w:rPr/>
              <w:t>/s/ Giancarlo Devasini</w:t>
            </w:r>
          </w:p>
        </w:tc>
      </w:tr>
      <w:tr>
        <w:trPr/>
        <w:tc>
          <w:tcPr>
            <w:tcW w:w="75" w:type="dxa"/>
            <w:tcBorders/>
            <w:vAlign w:val="center"/>
          </w:tcPr>
          <w:p>
            <w:pPr>
              <w:pStyle w:val="TableContents"/>
              <w:bidi w:val="0"/>
              <w:spacing w:before="0" w:after="283"/>
              <w:jc w:val="left"/>
              <w:rPr/>
            </w:pPr>
            <w:r>
              <w:rPr/>
              <w:t> </w:t>
            </w:r>
          </w:p>
        </w:tc>
        <w:tc>
          <w:tcPr>
            <w:tcW w:w="1144" w:type="dxa"/>
            <w:tcBorders/>
            <w:vAlign w:val="center"/>
          </w:tcPr>
          <w:p>
            <w:pPr>
              <w:pStyle w:val="TableContents"/>
              <w:bidi w:val="0"/>
              <w:spacing w:before="0" w:after="283"/>
              <w:jc w:val="left"/>
              <w:rPr>
                <w:sz w:val="20"/>
              </w:rPr>
            </w:pPr>
            <w:r>
              <w:rPr>
                <w:sz w:val="20"/>
              </w:rPr>
              <w:t>Name:</w:t>
            </w:r>
          </w:p>
        </w:tc>
        <w:tc>
          <w:tcPr>
            <w:tcW w:w="3915" w:type="dxa"/>
            <w:tcBorders/>
            <w:vAlign w:val="center"/>
          </w:tcPr>
          <w:p>
            <w:pPr>
              <w:pStyle w:val="TableContents"/>
              <w:bidi w:val="0"/>
              <w:spacing w:before="0" w:after="283"/>
              <w:jc w:val="left"/>
              <w:rPr/>
            </w:pPr>
            <w:r>
              <w:rPr/>
              <w:t>Giancarlo Devasini</w:t>
            </w:r>
          </w:p>
        </w:tc>
      </w:tr>
      <w:tr>
        <w:trPr/>
        <w:tc>
          <w:tcPr>
            <w:tcW w:w="75" w:type="dxa"/>
            <w:tcBorders/>
            <w:vAlign w:val="center"/>
          </w:tcPr>
          <w:p>
            <w:pPr>
              <w:pStyle w:val="TableContents"/>
              <w:bidi w:val="0"/>
              <w:spacing w:before="0" w:after="283"/>
              <w:jc w:val="left"/>
              <w:rPr/>
            </w:pPr>
            <w:r>
              <w:rPr/>
              <w:t> </w:t>
            </w:r>
          </w:p>
        </w:tc>
        <w:tc>
          <w:tcPr>
            <w:tcW w:w="1144" w:type="dxa"/>
            <w:tcBorders/>
            <w:vAlign w:val="center"/>
          </w:tcPr>
          <w:p>
            <w:pPr>
              <w:pStyle w:val="TableContents"/>
              <w:bidi w:val="0"/>
              <w:spacing w:before="0" w:after="283"/>
              <w:jc w:val="left"/>
              <w:rPr>
                <w:sz w:val="20"/>
              </w:rPr>
            </w:pPr>
            <w:r>
              <w:rPr>
                <w:sz w:val="20"/>
              </w:rPr>
              <w:t>Title:</w:t>
            </w:r>
          </w:p>
        </w:tc>
        <w:tc>
          <w:tcPr>
            <w:tcW w:w="3915" w:type="dxa"/>
            <w:tcBorders/>
            <w:vAlign w:val="center"/>
          </w:tcPr>
          <w:p>
            <w:pPr>
              <w:pStyle w:val="TableContents"/>
              <w:bidi w:val="0"/>
              <w:spacing w:before="0" w:after="283"/>
              <w:jc w:val="left"/>
              <w:rPr/>
            </w:pPr>
            <w:r>
              <w:rPr/>
              <w:t>Sole Administrator</w:t>
            </w:r>
          </w:p>
        </w:tc>
      </w:tr>
      <w:tr>
        <w:trPr/>
        <w:tc>
          <w:tcPr>
            <w:tcW w:w="75" w:type="dxa"/>
            <w:tcBorders/>
            <w:vAlign w:val="center"/>
          </w:tcPr>
          <w:p>
            <w:pPr>
              <w:pStyle w:val="TableContents"/>
              <w:bidi w:val="0"/>
              <w:spacing w:before="0" w:after="283"/>
              <w:jc w:val="left"/>
              <w:rPr/>
            </w:pPr>
            <w:r>
              <w:rPr/>
              <w:t> </w:t>
            </w:r>
          </w:p>
        </w:tc>
        <w:tc>
          <w:tcPr>
            <w:tcW w:w="505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59"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Giancarlo Devasini</w:t>
            </w:r>
          </w:p>
        </w:tc>
      </w:tr>
      <w:tr>
        <w:trPr/>
        <w:tc>
          <w:tcPr>
            <w:tcW w:w="75" w:type="dxa"/>
            <w:tcBorders/>
            <w:vAlign w:val="center"/>
          </w:tcPr>
          <w:p>
            <w:pPr>
              <w:pStyle w:val="TableContents"/>
              <w:bidi w:val="0"/>
              <w:spacing w:before="0" w:after="283"/>
              <w:jc w:val="left"/>
              <w:rPr/>
            </w:pPr>
            <w:r>
              <w:rPr/>
              <w:t> </w:t>
            </w:r>
          </w:p>
        </w:tc>
        <w:tc>
          <w:tcPr>
            <w:tcW w:w="5059" w:type="dxa"/>
            <w:gridSpan w:val="2"/>
            <w:tcBorders/>
            <w:vAlign w:val="center"/>
          </w:tcPr>
          <w:p>
            <w:pPr>
              <w:pStyle w:val="TableContents"/>
              <w:bidi w:val="0"/>
              <w:spacing w:before="0" w:after="283"/>
              <w:jc w:val="left"/>
              <w:rPr>
                <w:sz w:val="20"/>
              </w:rPr>
            </w:pPr>
            <w:r>
              <w:rPr>
                <w:b/>
                <w:sz w:val="20"/>
              </w:rPr>
              <w:t>Giancarlo Devasini</w:t>
            </w:r>
            <w:r>
              <w:rPr>
                <w:sz w:val="20"/>
              </w:rPr>
              <w:t>, individually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2212</Words>
  <Characters>12067</Characters>
  <CharactersWithSpaces>14160</CharactersWithSpaces>
  <Paragraphs>335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