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13d-101)</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G11448100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March 18, 2024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34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§240.13d-7(b) for other parties to whom copies are to be sent.</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Shinning Stone Invest Co., Ltd.</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gridSpan w:val="2"/>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British Virgin Islands</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gridSpan w:val="2"/>
            <w:vMerge w:val="continue"/>
          </w:tcPr>
          <w:p>
            <w:pPr>
              <w:spacing w:after="0"/>
              <w:rPr>
                <w:sz w:val="24"/>
                <w:szCs w:val="24"/>
                <w:color w:val="auto"/>
              </w:rPr>
            </w:pPr>
          </w:p>
        </w:tc>
        <w:tc>
          <w:tcPr>
            <w:tcW w:w="8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15,326,416 class A ordinary shares </w:t>
            </w:r>
            <w:r>
              <w:rPr>
                <w:rFonts w:ascii="Times New Roman" w:cs="Times New Roman" w:eastAsia="Times New Roman" w:hAnsi="Times New Roman"/>
                <w:sz w:val="29"/>
                <w:szCs w:val="29"/>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gridSpan w:val="2"/>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gridSpan w:val="2"/>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15,326,416 class A ordinary shares </w:t>
            </w:r>
            <w:r>
              <w:rPr>
                <w:rFonts w:ascii="Times New Roman" w:cs="Times New Roman" w:eastAsia="Times New Roman" w:hAnsi="Times New Roman"/>
                <w:sz w:val="29"/>
                <w:szCs w:val="29"/>
                <w:color w:val="auto"/>
                <w:vertAlign w:val="superscript"/>
              </w:rPr>
              <w:t>(1)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gridSpan w:val="2"/>
            <w:vMerge w:val="continue"/>
          </w:tcPr>
          <w:p>
            <w:pPr>
              <w:spacing w:after="0"/>
              <w:rPr>
                <w:sz w:val="24"/>
                <w:szCs w:val="24"/>
                <w:color w:val="auto"/>
              </w:rPr>
            </w:pPr>
          </w:p>
        </w:tc>
        <w:tc>
          <w:tcPr>
            <w:tcW w:w="80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gridSpan w:val="2"/>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15,326,416 class A ordinary shares </w:t>
            </w:r>
            <w:r>
              <w:rPr>
                <w:rFonts w:ascii="Times New Roman" w:cs="Times New Roman" w:eastAsia="Times New Roman" w:hAnsi="Times New Roman"/>
                <w:sz w:val="29"/>
                <w:szCs w:val="29"/>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00" w:type="dxa"/>
            <w:vAlign w:val="bottom"/>
            <w:tcBorders>
              <w:left w:val="single" w:sz="8" w:color="auto"/>
              <w:right w:val="single" w:sz="8" w:color="auto"/>
            </w:tcBorders>
          </w:tcPr>
          <w:p>
            <w:pPr>
              <w:spacing w:after="0"/>
              <w:rPr>
                <w:sz w:val="19"/>
                <w:szCs w:val="19"/>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9"/>
                <w:szCs w:val="19"/>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22.8% of class A ordinary shares (13.2% of ordinary shares) </w:t>
            </w:r>
            <w:r>
              <w:rPr>
                <w:rFonts w:ascii="Times New Roman" w:cs="Times New Roman" w:eastAsia="Times New Roman" w:hAnsi="Times New Roman"/>
                <w:sz w:val="29"/>
                <w:szCs w:val="29"/>
                <w:color w:val="auto"/>
                <w:vertAlign w:val="superscript"/>
              </w:rPr>
              <w:t>(2)</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660" w:hanging="652"/>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15,326,416 class A ordinary shares, par value US$0.0000001 per share, directly held by Shinning Stone Invest Co., Ltd. (“Shinning Stone”). Shinning Stone is a British Virgin Islands company wholly-owned by Mr. Zhaofeng Zhao. Mr. Zhao is also the sole director of Shinning Stone.</w:t>
      </w:r>
    </w:p>
    <w:p>
      <w:pPr>
        <w:spacing w:after="0" w:line="185" w:lineRule="exact"/>
        <w:rPr>
          <w:rFonts w:ascii="Times New Roman" w:cs="Times New Roman" w:eastAsia="Times New Roman" w:hAnsi="Times New Roman"/>
          <w:sz w:val="18"/>
          <w:szCs w:val="18"/>
          <w:color w:val="auto"/>
        </w:rPr>
      </w:pPr>
    </w:p>
    <w:p>
      <w:pPr>
        <w:jc w:val="both"/>
        <w:ind w:left="660" w:hanging="652"/>
        <w:spacing w:after="0" w:line="289"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Calculation is based on a total of 115,679,698 ordinary shares of the Issuer outstanding as of February 29, 2024 (excluding 606,756 class A ordinary shares that have been repurchased but not cancelled and 6,728,431 class A ordinary shares reserved for future issuances upon the exercise of awards granted under the Issuer’s share incentive plans), including 67,279,706 class A ordinary shares and 48,399,922 class V ordinary shares.</w:t>
      </w:r>
    </w:p>
    <w:p>
      <w:pPr>
        <w:sectPr>
          <w:pgSz w:w="11900" w:h="16838" w:orient="portrait"/>
          <w:cols w:equalWidth="0" w:num="1">
            <w:col w:w="11240"/>
          </w:cols>
          <w:pgMar w:left="320" w:top="120" w:right="3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Zhaofeng Zhao</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gridSpan w:val="2"/>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Chinese</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gridSpan w:val="2"/>
            <w:vMerge w:val="continue"/>
          </w:tcPr>
          <w:p>
            <w:pPr>
              <w:spacing w:after="0"/>
              <w:rPr>
                <w:sz w:val="24"/>
                <w:szCs w:val="24"/>
                <w:color w:val="auto"/>
              </w:rPr>
            </w:pPr>
          </w:p>
        </w:tc>
        <w:tc>
          <w:tcPr>
            <w:tcW w:w="8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15,326,416 class A ordinary shares </w:t>
            </w:r>
            <w:r>
              <w:rPr>
                <w:rFonts w:ascii="Times New Roman" w:cs="Times New Roman" w:eastAsia="Times New Roman" w:hAnsi="Times New Roman"/>
                <w:sz w:val="29"/>
                <w:szCs w:val="29"/>
                <w:color w:val="auto"/>
                <w:vertAlign w:val="superscript"/>
              </w:rPr>
              <w:t>(3)</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gridSpan w:val="2"/>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gridSpan w:val="2"/>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15,326,416 class A ordinary shares </w:t>
            </w:r>
            <w:r>
              <w:rPr>
                <w:rFonts w:ascii="Times New Roman" w:cs="Times New Roman" w:eastAsia="Times New Roman" w:hAnsi="Times New Roman"/>
                <w:sz w:val="29"/>
                <w:szCs w:val="29"/>
                <w:color w:val="auto"/>
                <w:vertAlign w:val="superscript"/>
              </w:rPr>
              <w:t>(3)</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gridSpan w:val="2"/>
            <w:vMerge w:val="continue"/>
          </w:tcPr>
          <w:p>
            <w:pPr>
              <w:spacing w:after="0"/>
              <w:rPr>
                <w:sz w:val="24"/>
                <w:szCs w:val="24"/>
                <w:color w:val="auto"/>
              </w:rPr>
            </w:pPr>
          </w:p>
        </w:tc>
        <w:tc>
          <w:tcPr>
            <w:tcW w:w="80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gridSpan w:val="2"/>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15,326,416 class A ordinary shares </w:t>
            </w:r>
            <w:r>
              <w:rPr>
                <w:rFonts w:ascii="Times New Roman" w:cs="Times New Roman" w:eastAsia="Times New Roman" w:hAnsi="Times New Roman"/>
                <w:sz w:val="29"/>
                <w:szCs w:val="29"/>
                <w:color w:val="auto"/>
                <w:vertAlign w:val="superscript"/>
              </w:rPr>
              <w:t>(3)</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400" w:type="dxa"/>
            <w:vAlign w:val="bottom"/>
            <w:tcBorders>
              <w:left w:val="single" w:sz="8" w:color="auto"/>
              <w:right w:val="single" w:sz="8" w:color="auto"/>
            </w:tcBorders>
          </w:tcPr>
          <w:p>
            <w:pPr>
              <w:spacing w:after="0"/>
              <w:rPr>
                <w:sz w:val="19"/>
                <w:szCs w:val="19"/>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9"/>
                <w:szCs w:val="19"/>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22.8% of class A ordinary shares (13.2% of ordinary shares) </w:t>
            </w:r>
            <w:r>
              <w:rPr>
                <w:rFonts w:ascii="Times New Roman" w:cs="Times New Roman" w:eastAsia="Times New Roman" w:hAnsi="Times New Roman"/>
                <w:sz w:val="29"/>
                <w:szCs w:val="29"/>
                <w:color w:val="auto"/>
                <w:vertAlign w:val="superscript"/>
              </w:rPr>
              <w:t>(4)</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660" w:hanging="652"/>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15,326,416 class A ordinary shares, par value US$0.0000001 per share, directly held by Shinning Stone Invest Co., Ltd. (“Shinning Stone”). Shinning Stone is a British Virgin Islands company wholly-owned by Mr. Zhaofeng Zhao. Mr. Zhao is also the sole director of Shinning Stone.</w:t>
      </w:r>
    </w:p>
    <w:p>
      <w:pPr>
        <w:spacing w:after="0" w:line="185" w:lineRule="exact"/>
        <w:rPr>
          <w:rFonts w:ascii="Times New Roman" w:cs="Times New Roman" w:eastAsia="Times New Roman" w:hAnsi="Times New Roman"/>
          <w:sz w:val="18"/>
          <w:szCs w:val="18"/>
          <w:color w:val="auto"/>
        </w:rPr>
      </w:pPr>
    </w:p>
    <w:p>
      <w:pPr>
        <w:jc w:val="both"/>
        <w:ind w:left="660" w:hanging="652"/>
        <w:spacing w:after="0" w:line="289"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Calculation is based on a total of 115,679,698 ordinary shares of the Issuer outstanding as of February 29, 2024 (excluding 606,756 class A ordinary shares that have been repurchased but not cancelled and 6,728,431 class A ordinary shares reserved for future issuances upon the exercise of awards granted under the Issuer’s share incentive plans), including 67,279,706 class A ordinary shares and 48,399,922 class V ordinary shares.</w:t>
      </w:r>
    </w:p>
    <w:p>
      <w:pPr>
        <w:sectPr>
          <w:pgSz w:w="11900" w:h="16838" w:orient="portrait"/>
          <w:cols w:equalWidth="0" w:num="1">
            <w:col w:w="11240"/>
          </w:cols>
          <w:pgMar w:left="320" w:top="120" w:right="3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13D relates to class A ordinary shares, par value US$0.0000001 per share of Bitdeer Technologies Group, an exempted company incorporated in the Cayman Islands (the “Issuer”), and amends the initial statement on Schedule 13D filed by the Reporting Persons on May 31, 2023 (the “Initial Statement” and, as further amended by this Amendment No. 1, the “Schedule 13D”). Capitalized terms used but not defined herein shall have the meanings ascribed to them in the Initial Statement.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Amendment No. 1 to Schedule 13D is being filed solely due to a change in the aggregate number of class A ordinary shares outstanding and not due to any transaction by the Reporting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 See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Sole power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Shared</w:t>
            </w:r>
          </w:p>
        </w:tc>
      </w:tr>
      <w:tr>
        <w:trPr>
          <w:trHeight w:val="216"/>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dispose or to</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power</w:t>
            </w:r>
          </w:p>
        </w:tc>
      </w:tr>
      <w:tr>
        <w:trPr>
          <w:trHeight w:val="216"/>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of class A</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to vote or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direct the</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dispose or</w:t>
            </w:r>
          </w:p>
        </w:tc>
      </w:tr>
      <w:tr>
        <w:trPr>
          <w:trHeight w:val="20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or direct</w:t>
            </w:r>
          </w:p>
        </w:tc>
        <w:tc>
          <w:tcPr>
            <w:tcW w:w="9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to direct the</w:t>
            </w:r>
          </w:p>
        </w:tc>
      </w:tr>
      <w:tr>
        <w:trPr>
          <w:trHeight w:val="255"/>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80" w:type="dxa"/>
            <w:vAlign w:val="bottom"/>
          </w:tcPr>
          <w:p>
            <w:pPr>
              <w:spacing w:after="0"/>
              <w:rPr>
                <w:sz w:val="22"/>
                <w:szCs w:val="22"/>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20" w:type="dxa"/>
            <w:vAlign w:val="bottom"/>
            <w:gridSpan w:val="2"/>
          </w:tcPr>
          <w:p>
            <w:pPr>
              <w:jc w:val="center"/>
              <w:ind w:right="260"/>
              <w:spacing w:after="0" w:line="247" w:lineRule="exact"/>
              <w:rPr>
                <w:sz w:val="20"/>
                <w:szCs w:val="20"/>
                <w:color w:val="auto"/>
              </w:rPr>
            </w:pPr>
            <w:r>
              <w:rPr>
                <w:rFonts w:ascii="Times New Roman" w:cs="Times New Roman" w:eastAsia="Times New Roman" w:hAnsi="Times New Roman"/>
                <w:sz w:val="17"/>
                <w:szCs w:val="17"/>
                <w:b w:val="1"/>
                <w:bCs w:val="1"/>
                <w:color w:val="auto"/>
                <w:w w:val="97"/>
              </w:rPr>
              <w:t>shares</w:t>
            </w:r>
            <w:r>
              <w:rPr>
                <w:rFonts w:ascii="Times New Roman" w:cs="Times New Roman" w:eastAsia="Times New Roman" w:hAnsi="Times New Roman"/>
                <w:sz w:val="28"/>
                <w:szCs w:val="28"/>
                <w:b w:val="1"/>
                <w:bCs w:val="1"/>
                <w:color w:val="auto"/>
                <w:w w:val="97"/>
                <w:vertAlign w:val="superscript"/>
              </w:rPr>
              <w:t>(1)</w:t>
            </w:r>
            <w:r>
              <w:rPr>
                <w:rFonts w:ascii="Times New Roman" w:cs="Times New Roman" w:eastAsia="Times New Roman" w:hAnsi="Times New Roman"/>
                <w:sz w:val="17"/>
                <w:szCs w:val="17"/>
                <w:b w:val="1"/>
                <w:bCs w:val="1"/>
                <w:color w:val="auto"/>
                <w:w w:val="97"/>
              </w:rPr>
              <w:t>:</w:t>
            </w:r>
          </w:p>
        </w:tc>
        <w:tc>
          <w:tcPr>
            <w:tcW w:w="1020" w:type="dxa"/>
            <w:vAlign w:val="bottom"/>
            <w:gridSpan w:val="2"/>
          </w:tcPr>
          <w:p>
            <w:pPr>
              <w:jc w:val="center"/>
              <w:ind w:right="260"/>
              <w:spacing w:after="0" w:line="247" w:lineRule="exact"/>
              <w:rPr>
                <w:sz w:val="20"/>
                <w:szCs w:val="20"/>
                <w:color w:val="auto"/>
              </w:rPr>
            </w:pPr>
            <w:r>
              <w:rPr>
                <w:rFonts w:ascii="Times New Roman" w:cs="Times New Roman" w:eastAsia="Times New Roman" w:hAnsi="Times New Roman"/>
                <w:sz w:val="17"/>
                <w:szCs w:val="17"/>
                <w:b w:val="1"/>
                <w:bCs w:val="1"/>
                <w:color w:val="auto"/>
                <w:w w:val="97"/>
              </w:rPr>
              <w:t>shares</w:t>
            </w:r>
            <w:r>
              <w:rPr>
                <w:rFonts w:ascii="Times New Roman" w:cs="Times New Roman" w:eastAsia="Times New Roman" w:hAnsi="Times New Roman"/>
                <w:sz w:val="28"/>
                <w:szCs w:val="28"/>
                <w:b w:val="1"/>
                <w:bCs w:val="1"/>
                <w:color w:val="auto"/>
                <w:w w:val="97"/>
                <w:vertAlign w:val="superscript"/>
              </w:rPr>
              <w:t>(1)</w:t>
            </w:r>
            <w:r>
              <w:rPr>
                <w:rFonts w:ascii="Times New Roman" w:cs="Times New Roman" w:eastAsia="Times New Roman" w:hAnsi="Times New Roman"/>
                <w:sz w:val="17"/>
                <w:szCs w:val="17"/>
                <w:b w:val="1"/>
                <w:bCs w:val="1"/>
                <w:color w:val="auto"/>
                <w:w w:val="97"/>
              </w:rPr>
              <w: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the vote:</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of:</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disposition of:</w:t>
            </w:r>
          </w:p>
        </w:tc>
      </w:tr>
      <w:tr>
        <w:trPr>
          <w:trHeight w:val="198"/>
        </w:trPr>
        <w:tc>
          <w:tcPr>
            <w:tcW w:w="13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Shinning Stone</w:t>
            </w:r>
          </w:p>
        </w:tc>
        <w:tc>
          <w:tcPr>
            <w:tcW w:w="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 Co., Ltd.</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15,326,416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15,326,416</w:t>
            </w:r>
          </w:p>
        </w:tc>
        <w:tc>
          <w:tcPr>
            <w:tcW w:w="9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15,326,416</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Zhaofeng Zhao</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15,326,416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15,326,416</w:t>
            </w:r>
          </w:p>
        </w:tc>
        <w:tc>
          <w:tcPr>
            <w:tcW w:w="94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15,326,416</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62" w:lineRule="exact"/>
        <w:rPr>
          <w:sz w:val="20"/>
          <w:szCs w:val="20"/>
          <w:color w:val="auto"/>
        </w:rPr>
      </w:pPr>
    </w:p>
    <w:p>
      <w:pPr>
        <w:ind w:left="660" w:hanging="652"/>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beneficially owned by each Reporting Person is based on a total of 115,679,698 ordinary shares of the Issuer outstanding as of February 29, 2024 (excluding 606,756 class A ordinary shares that have been repurchased but not cancelled and 6,728,431 class A ordinary shares reserved for future issuances upon the exercise of awards granted under the Issuer’s share incentive plans), including 67,279,706 class A ordinary shares and 48,399,922 class V ordinary shares, as reported by the Issuer in its registration statement on Form F-3 filed with the Securities and Exchange Commission on March 18, 2024. Each Reporting Person’s dilution in ownership resulted solely from a change in the aggregate number of the Issuer’s class A ordinary shares outstanding.</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Pr>
          <w:p>
            <w:pPr>
              <w:jc w:val="right"/>
              <w:ind w:right="4476"/>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42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1*</w:t>
            </w: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Borders>
              <w:top w:val="single" w:sz="8" w:color="auto"/>
            </w:tcBorders>
          </w:tcPr>
          <w:p>
            <w:pPr>
              <w:jc w:val="right"/>
              <w:ind w:right="8196"/>
              <w:spacing w:after="0" w:line="176" w:lineRule="exact"/>
              <w:rPr>
                <w:sz w:val="20"/>
                <w:szCs w:val="20"/>
                <w:color w:val="auto"/>
              </w:rPr>
            </w:pPr>
            <w:r>
              <w:rPr>
                <w:rFonts w:ascii="Times New Roman" w:cs="Times New Roman" w:eastAsia="Times New Roman" w:hAnsi="Times New Roman"/>
                <w:sz w:val="18"/>
                <w:szCs w:val="18"/>
                <w:color w:val="auto"/>
              </w:rPr>
              <w:t>Joint Filing Agreement</w:t>
            </w:r>
          </w:p>
        </w:tc>
      </w:tr>
      <w:tr>
        <w:trPr>
          <w:trHeight w:val="45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10000" w:type="dxa"/>
            <w:vAlign w:val="bottom"/>
          </w:tcPr>
          <w:p>
            <w:pPr>
              <w:spacing w:after="0"/>
              <w:rPr>
                <w:sz w:val="24"/>
                <w:szCs w:val="24"/>
                <w:color w:val="auto"/>
              </w:rPr>
            </w:pPr>
          </w:p>
        </w:tc>
      </w:tr>
      <w:tr>
        <w:trPr>
          <w:trHeight w:val="570"/>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Pr>
          <w:p>
            <w:pPr>
              <w:jc w:val="right"/>
              <w:ind w:right="5496"/>
              <w:spacing w:after="0"/>
              <w:rPr>
                <w:sz w:val="20"/>
                <w:szCs w:val="20"/>
                <w:color w:val="auto"/>
              </w:rPr>
            </w:pPr>
            <w:r>
              <w:rPr>
                <w:rFonts w:ascii="Times New Roman" w:cs="Times New Roman" w:eastAsia="Times New Roman" w:hAnsi="Times New Roman"/>
                <w:sz w:val="14"/>
                <w:szCs w:val="14"/>
                <w:color w:val="auto"/>
              </w:rPr>
              <w:t>4</w:t>
            </w:r>
          </w:p>
        </w:tc>
      </w:tr>
      <w:tr>
        <w:trPr>
          <w:trHeight w:val="44"/>
        </w:trPr>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27, 2024</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Shinning Stone Invest Co., Ltd.</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Zhaofeng Zhao</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Zhaofeng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wp:posOffset>
            </wp:positionV>
            <wp:extent cx="8743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4395" cy="1714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Zhaofeng Zhao</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Zhaofeng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8483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$0.0000001 per share, of Bitdeer Technologies Group,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March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27, 2024</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Shinning Stone Invest Co., Ltd.</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Zhaofeng Zhao</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Zhaofeng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wp:posOffset>
            </wp:positionV>
            <wp:extent cx="8743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4395" cy="1714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Zhaofeng Zhao</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Zhaofeng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8483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836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1"/>
    </w:lvl>
    <w:lvl w:ilvl="1">
      <w:lvlJc w:val="left"/>
      <w:lvlText w:val="(%2)"/>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2024-03-27T06:17:30Z</dcterms:created>
  <dcterms:modified xsi:type="dcterms:W3CDTF">2024-03-27T06:17:30Z</dcterms:modified>
</cp:coreProperties>
</file>