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Bitdeer Technologies Group (the “Company”) today closed its private placement of US$330 million principal amount of 4.875% Convertible Senior Notes due 2031. Initial purchasers of the notes have an option to purchase up to an additional US$45.0 million principal amount of the notes, within a 13-day period beginning on, and including, June 23,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This current report on Form 6-K is hereby incorporated by reference in the registration statements of the Company on Form F-3 (No. </w:t>
        </w:r>
        <w:r>
          <w:rPr>
            <w:rFonts w:ascii="Times New Roman" w:cs="Times New Roman" w:eastAsia="Times New Roman" w:hAnsi="Times New Roman"/>
            <w:sz w:val="18"/>
            <w:szCs w:val="18"/>
            <w:u w:val="single" w:color="auto"/>
            <w:color w:val="0000EE"/>
          </w:rPr>
          <w:t>333-273905</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u w:val="single" w:color="auto"/>
            <w:color w:val="0000EE"/>
          </w:rPr>
          <w:t>333-</w:t>
        </w:r>
      </w:hyperlink>
      <w:hyperlink r:id="rId18">
        <w:r>
          <w:rPr>
            <w:rFonts w:ascii="Times New Roman" w:cs="Times New Roman" w:eastAsia="Times New Roman" w:hAnsi="Times New Roman"/>
            <w:sz w:val="18"/>
            <w:szCs w:val="18"/>
            <w:u w:val="single" w:color="auto"/>
            <w:color w:val="0000EE"/>
          </w:rPr>
          <w:t>278027</w:t>
        </w:r>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333-278029</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333-280041 </w:t>
        </w:r>
      </w:hyperlink>
      <w:hyperlink r:id="rId18">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333-283732</w:t>
        </w:r>
      </w:hyperlink>
      <w:hyperlink r:id="rId18">
        <w:r>
          <w:rPr>
            <w:rFonts w:ascii="Times New Roman" w:cs="Times New Roman" w:eastAsia="Times New Roman" w:hAnsi="Times New Roman"/>
            <w:sz w:val="18"/>
            <w:szCs w:val="18"/>
            <w:color w:val="000000"/>
          </w:rPr>
          <w:t>) and Form S-8 (No.</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 xml:space="preserve">333-272858 </w:t>
        </w:r>
      </w:hyperlink>
      <w:hyperlink r:id="rId18">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333-275342</w:t>
        </w:r>
      </w:hyperlink>
      <w:hyperlink r:id="rId18">
        <w:r>
          <w:rPr>
            <w:rFonts w:ascii="Times New Roman" w:cs="Times New Roman" w:eastAsia="Times New Roman" w:hAnsi="Times New Roman"/>
            <w:sz w:val="18"/>
            <w:szCs w:val="18"/>
            <w:color w:val="000000"/>
          </w:rPr>
          <w:t>), to the extent not superseded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documents or reports subsequently filed or furnished.</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380" w:type="dxa"/>
            <w:vAlign w:val="bottom"/>
            <w:tcBorders>
              <w:top w:val="single" w:sz="8" w:color="auto"/>
              <w:bottom w:val="single" w:sz="8" w:color="0000EE"/>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Indenture, dated June 23, 2025, by and between Bitdeer Technologies Group and U.S. Bank Trust Company, National Association</w:t>
            </w:r>
          </w:p>
        </w:tc>
        <w:tc>
          <w:tcPr>
            <w:tcW w:w="720" w:type="dxa"/>
            <w:vAlign w:val="bottom"/>
            <w:tcBorders>
              <w:top w:val="single" w:sz="8" w:color="auto"/>
              <w:bottom w:val="single" w:sz="8" w:color="CCEEFF"/>
            </w:tcBorders>
            <w:gridSpan w:val="2"/>
            <w:shd w:val="clear" w:color="auto" w:fill="CCEEFF"/>
          </w:tcPr>
          <w:p>
            <w:pPr>
              <w:spacing w:after="0"/>
              <w:rPr>
                <w:sz w:val="16"/>
                <w:szCs w:val="16"/>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Zero-Strike Call Confirmation</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Global Note, representing Bitdeer Technologies Group’s 4.875% Convertible Senior Notes due 2031 (included as exhibit A to the</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Indenture filed as Exhibit 4.1)</w:t>
            </w: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5580" w:right="2580" w:hanging="5572"/>
        <w:spacing w:after="0" w:line="783" w:lineRule="auto"/>
        <w:tabs>
          <w:tab w:leader="none" w:pos="3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or omitted in accordance with Item 601(a)(6) of Regulation S-K.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568325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602615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23, 2025</w:t>
      </w:r>
    </w:p>
    <w:p>
      <w:pPr>
        <w:spacing w:after="0" w:line="200" w:lineRule="exact"/>
        <w:rPr>
          <w:sz w:val="20"/>
          <w:szCs w:val="20"/>
          <w:color w:val="auto"/>
        </w:rPr>
      </w:pPr>
    </w:p>
    <w:p>
      <w:pPr>
        <w:spacing w:after="0" w:line="24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4.875%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1174750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84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9"/>
        </w:trPr>
        <w:tc>
          <w:tcPr>
            <w:tcW w:w="1780" w:type="dxa"/>
            <w:vAlign w:val="bottom"/>
            <w:tcBorders>
              <w:bottom w:val="single" w:sz="8" w:color="CCEEFF"/>
            </w:tcBorders>
          </w:tcPr>
          <w:p>
            <w:pPr>
              <w:spacing w:after="0"/>
              <w:rPr>
                <w:sz w:val="24"/>
                <w:szCs w:val="24"/>
                <w:color w:val="auto"/>
              </w:rPr>
            </w:pPr>
          </w:p>
        </w:tc>
        <w:tc>
          <w:tcPr>
            <w:tcW w:w="84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8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7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References to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Execution, Registration and Exchange of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78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2.01</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Designation and 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2.02</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Form of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2.03</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Date and Denomination of Notes; Payments of Interest and Defaulted Amounts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2.04</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Execution, Authentication and Delivery of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2.05</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Exchange and Registration of Transfer of Notes; Restrictions on Transfer; Depositary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2.06</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Mutilated, Destroyed, Lost or Stolen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2.07</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Temporary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2.08</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Cancellation of Notes Paid, Converted, Etc</w:t>
            </w: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2.09</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CUSIP Numbers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2.10</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Additional Notes; Repurchases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Satisfaction and Discharge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7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3.01</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Satisfaction and Discharge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Particular Covenants of the Company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4.01</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Payment of Principal and Interest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4.02</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Maintenance of Office or Agency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4.03</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Appointments to Fill Vacancies in Trustee’s Office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4.04</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Provisions as to Paying Agent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4.05</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Existence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4.06</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Rule 144A Information Requirement and Annual Reports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4.07</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Stay, Extension and Usury Laws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4.08</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Compliance Certificate; Statements as to Defaults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4.09</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Further Instruments and Acts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4.10</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Lists of Holders and Reports by the Company and the Trustee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8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5.01</w:t>
            </w:r>
          </w:p>
        </w:tc>
        <w:tc>
          <w:tcPr>
            <w:tcW w:w="8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Lists of Holders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5.02</w:t>
            </w:r>
          </w:p>
        </w:tc>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Preservation and Disclosure of Lists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826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(continued)</w:t>
            </w:r>
          </w:p>
        </w:tc>
        <w:tc>
          <w:tcPr>
            <w:tcW w:w="1340" w:type="dxa"/>
            <w:vAlign w:val="bottom"/>
          </w:tcPr>
          <w:p>
            <w:pPr>
              <w:spacing w:after="0"/>
              <w:rPr>
                <w:sz w:val="20"/>
                <w:szCs w:val="20"/>
                <w:color w:val="auto"/>
              </w:rPr>
            </w:pPr>
          </w:p>
        </w:tc>
      </w:tr>
      <w:tr>
        <w:trPr>
          <w:trHeight w:val="225"/>
        </w:trPr>
        <w:tc>
          <w:tcPr>
            <w:tcW w:w="9900" w:type="dxa"/>
            <w:vAlign w:val="bottom"/>
            <w:gridSpan w:val="2"/>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6.01</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6.02</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Acceleration; Rescission and Annulment</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6.03</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Additional Interest</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6.04</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Payments of Notes on Default; Suit Therefor</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6.05</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Application of Monies Collected by Trustee</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6.06</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Proceedings by Holders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6.07</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Proceedings by Trustee</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6.08</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Remedies Cumulative and Continuing</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6.09</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Direction of Proceedings and Waiver of Defaults by Majority of Holders</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6.10</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Notice of Defaults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6.11</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Undertaking to Pay Costs</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90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Concerning the Trustee</w:t>
            </w:r>
            <w:r>
              <w:rPr>
                <w:rFonts w:ascii="Times New Roman" w:cs="Times New Roman" w:eastAsia="Times New Roman" w:hAnsi="Times New Roman"/>
                <w:sz w:val="18"/>
                <w:szCs w:val="18"/>
                <w:i w:val="1"/>
                <w:iCs w:val="1"/>
                <w:color w:val="auto"/>
              </w:rPr>
              <w:t>.</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6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7.01</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Duties and Responsibilities of Trustee</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7.02</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Reliance on Documents, Opinions, Etc.</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7.03</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No Responsibility for Recitals, Etc.</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7.04</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Trustee, Paying Agents, Conversion Agents, Bid Solicitation Agent or Note Registrar May Own Notes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7.05</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Monies and Ordinary Shares to Be Held in Trust</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7.06</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Compensation and Expenses of Trustee</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7.07</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Officer’s Certificate as Evidence</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7.08</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Eligibility of Trustee</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7.09</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Resignation or Removal of Trustee</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7.10</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Acceptance by Successor Trustee</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7.11</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Succession by Merger, Etc.</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7.12</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Trustee’s Application for Instructions from the Company</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900" w:type="dxa"/>
            <w:vAlign w:val="bottom"/>
            <w:gridSpan w:val="2"/>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Holders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4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8.01</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Action by Holders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8.02</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Proof of Execution by Holders</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8.03</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Who Are Deemed Absolute Owners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8.04</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Company-Owned Notes Disregarded</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8.05</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Revocation of Consents; Future Holders Bound</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900" w:type="dxa"/>
            <w:vAlign w:val="bottom"/>
            <w:gridSpan w:val="2"/>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Holders’ Meetings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4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9.01</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Purpose of Meetings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9.02</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Call of Meetings by Trustee</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9.03</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Call of Meetings by Company or Holders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9.04</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Qualifications for Voting</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9.05</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Regulations</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9.06</w:t>
            </w:r>
          </w:p>
        </w:tc>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Voting</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3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9.07</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 Delay of Rights by Meeting</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834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(continued)</w:t>
            </w:r>
          </w:p>
        </w:tc>
        <w:tc>
          <w:tcPr>
            <w:tcW w:w="1200" w:type="dxa"/>
            <w:vAlign w:val="bottom"/>
          </w:tcPr>
          <w:p>
            <w:pPr>
              <w:spacing w:after="0"/>
              <w:rPr>
                <w:sz w:val="20"/>
                <w:szCs w:val="20"/>
                <w:color w:val="auto"/>
              </w:rPr>
            </w:pPr>
          </w:p>
        </w:tc>
      </w:tr>
      <w:tr>
        <w:trPr>
          <w:trHeight w:val="198"/>
        </w:trPr>
        <w:tc>
          <w:tcPr>
            <w:tcW w:w="100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Supplemental Indentures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0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Amendments or Supplemental Indentures Without Consent of Holders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Amendments or Supplemental Indentures with Consent of Holders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Effect of Supplemental Indentures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Notation on Notes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Compliance of Supplemental Indenture to Be Furnished to Trustee</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0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Consolidation, Merger and Sale of Assets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0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When Company May Merge, Etc.</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Successor Entity to Be Substituted</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Indenture and Notes Solely Corporate Obligations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[Intentionally Omitted]</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Conversion of Notes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0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14.01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Conversion Privilege</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Conversion Procedure; Settlement Upon Conversion</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Adjustment to Conversion Rate Upon Conversion Upon a Make-Whole Fundamental Change</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i w:val="1"/>
                <w:iCs w:val="1"/>
                <w:color w:val="auto"/>
              </w:rPr>
              <w:t>Adjustment to Conversion Rate upon Conversion in Connection with a Redemption</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Adjustment of Conversion Rate</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Adjustments of Prices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Shares To Be Fully Paid</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i w:val="1"/>
                <w:iCs w:val="1"/>
                <w:color w:val="auto"/>
              </w:rPr>
              <w:t>Effect of Recapitalizations, Reclassifications and Changes of the Class A Ordinary Shares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14.09</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Certain Covenants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Responsibility of Trustee</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14.11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Shareholder Rights Plans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i w:val="1"/>
                <w:iCs w:val="1"/>
                <w:color w:val="auto"/>
              </w:rPr>
              <w:t>Exchange in Lieu of Conversion</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0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Repurchase of Notes at Option of Holders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0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i w:val="1"/>
                <w:iCs w:val="1"/>
                <w:color w:val="auto"/>
              </w:rPr>
              <w:t>Repurchase at Option of Holders on July 6, 2029</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i w:val="1"/>
                <w:iCs w:val="1"/>
                <w:color w:val="auto"/>
              </w:rPr>
              <w:t>Repurchase at Option of Holders Upon a Fundamental Change</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i w:val="1"/>
                <w:iCs w:val="1"/>
                <w:color w:val="auto"/>
              </w:rPr>
              <w:t>Withdrawal of Fundamental Change Repurchase Notice or Specified Repurchase Date Repurchase Notice</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0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Deposit of Fundamental Change Repurchase Price</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36"/>
        </w:trPr>
        <w:tc>
          <w:tcPr>
            <w:tcW w:w="10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8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(continued)</w:t>
            </w:r>
          </w:p>
        </w:tc>
        <w:tc>
          <w:tcPr>
            <w:tcW w:w="1440" w:type="dxa"/>
            <w:vAlign w:val="bottom"/>
          </w:tcPr>
          <w:p>
            <w:pPr>
              <w:spacing w:after="0"/>
              <w:rPr>
                <w:sz w:val="20"/>
                <w:szCs w:val="20"/>
                <w:color w:val="auto"/>
              </w:rPr>
            </w:pPr>
          </w:p>
        </w:tc>
      </w:tr>
      <w:tr>
        <w:trPr>
          <w:trHeight w:val="198"/>
        </w:trPr>
        <w:tc>
          <w:tcPr>
            <w:tcW w:w="980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16 Optional Redemption, Cleanup Redemption and Tax Redemption</w:t>
            </w:r>
          </w:p>
        </w:tc>
        <w:tc>
          <w:tcPr>
            <w:tcW w:w="14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6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16.01</w:t>
            </w:r>
          </w:p>
        </w:tc>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Optional Redemption</w:t>
            </w:r>
          </w:p>
        </w:tc>
        <w:tc>
          <w:tcPr>
            <w:tcW w:w="14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16.02</w:t>
            </w: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Cleanup Redemption</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16.03</w:t>
            </w:r>
          </w:p>
        </w:tc>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Tax Redemption</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Payment of Notes Called for Redemption</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i w:val="1"/>
                <w:iCs w:val="1"/>
                <w:color w:val="auto"/>
              </w:rPr>
              <w:t>Restrictions on Redemption</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8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17 Miscellaneous Provisions</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8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9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i w:val="1"/>
                <w:iCs w:val="1"/>
                <w:color w:val="auto"/>
              </w:rPr>
              <w:t>Governing Law; Jurisdiction</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i w:val="1"/>
                <w:iCs w:val="1"/>
                <w:color w:val="auto"/>
              </w:rPr>
              <w:t>Waiver of Jury Trial</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i w:val="1"/>
                <w:iCs w:val="1"/>
                <w:color w:val="auto"/>
              </w:rPr>
              <w:t>Addresses for Notices, Etc</w:t>
            </w: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i w:val="1"/>
                <w:iCs w:val="1"/>
                <w:color w:val="auto"/>
              </w:rPr>
              <w:t>Provisions Binding on Company’s Successors; Official Acts by Successor Entity</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i w:val="1"/>
                <w:iCs w:val="1"/>
                <w:color w:val="auto"/>
              </w:rPr>
              <w:t>Evidence of Compliance with Conditions Precedent; Certificates and Opinions of Counsel to Trustee</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17.06</w:t>
            </w: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i w:val="1"/>
                <w:iCs w:val="1"/>
                <w:color w:val="auto"/>
              </w:rPr>
              <w:t>No Security Interest Created</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i w:val="1"/>
                <w:iCs w:val="1"/>
                <w:color w:val="auto"/>
              </w:rPr>
              <w:t>Benefits of Indenture</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i w:val="1"/>
                <w:iCs w:val="1"/>
                <w:color w:val="auto"/>
              </w:rPr>
              <w:t>Table of Contents, Headings, Etc</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17.10</w:t>
            </w: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Authenticating Agent</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17.11</w:t>
            </w:r>
          </w:p>
        </w:tc>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Multiple Originals</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17.12</w:t>
            </w: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17.13</w:t>
            </w:r>
          </w:p>
        </w:tc>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Calculations</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17.14</w:t>
            </w:r>
          </w:p>
        </w:tc>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[Intentionally Omitted].</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Section 17.15   </w:t>
            </w:r>
            <w:r>
              <w:rPr>
                <w:rFonts w:ascii="Times New Roman" w:cs="Times New Roman" w:eastAsia="Times New Roman" w:hAnsi="Times New Roman"/>
                <w:sz w:val="18"/>
                <w:szCs w:val="18"/>
                <w:i w:val="1"/>
                <w:iCs w:val="1"/>
                <w:color w:val="auto"/>
              </w:rPr>
              <w:t>Delivery of Notices</w:t>
            </w:r>
          </w:p>
        </w:tc>
        <w:tc>
          <w:tcPr>
            <w:tcW w:w="14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9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p>
        </w:tc>
        <w:tc>
          <w:tcPr>
            <w:tcW w:w="14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109</w:t>
            </w:r>
          </w:p>
        </w:tc>
      </w:tr>
      <w:tr>
        <w:trPr>
          <w:trHeight w:val="412"/>
        </w:trPr>
        <w:tc>
          <w:tcPr>
            <w:tcW w:w="1640" w:type="dxa"/>
            <w:vAlign w:val="bottom"/>
          </w:tcPr>
          <w:p>
            <w:pPr>
              <w:spacing w:after="0"/>
              <w:rPr>
                <w:sz w:val="24"/>
                <w:szCs w:val="24"/>
                <w:color w:val="auto"/>
              </w:rPr>
            </w:pPr>
          </w:p>
        </w:tc>
        <w:tc>
          <w:tcPr>
            <w:tcW w:w="8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40" w:type="dxa"/>
            <w:vAlign w:val="bottom"/>
          </w:tcPr>
          <w:p>
            <w:pPr>
              <w:spacing w:after="0"/>
              <w:rPr>
                <w:sz w:val="24"/>
                <w:szCs w:val="24"/>
                <w:color w:val="auto"/>
              </w:rPr>
            </w:pPr>
          </w:p>
        </w:tc>
      </w:tr>
      <w:tr>
        <w:trPr>
          <w:trHeight w:val="243"/>
        </w:trPr>
        <w:tc>
          <w:tcPr>
            <w:tcW w:w="164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8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of Note</w:t>
            </w:r>
          </w:p>
        </w:tc>
        <w:tc>
          <w:tcPr>
            <w:tcW w:w="14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A-1</w:t>
            </w:r>
          </w:p>
        </w:tc>
      </w:tr>
      <w:tr>
        <w:trPr>
          <w:trHeight w:val="655"/>
        </w:trPr>
        <w:tc>
          <w:tcPr>
            <w:tcW w:w="164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iv</w:t>
            </w: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dated as of June 23, 2025, between BITDEER TECHNOLOGIES GROUP, an exempted company with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under the laws of the Cayman Islands,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4.875%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each $1,000 principal amount thereof, unless the context otherwise requires,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initially in an aggregate principal amount not to exceed $330,000,000 plus up to an additional $45,000,000 principal amount of any additional Notes purchased by the Initial Purchasers pursuant to the exercise of their option to purchase additional Notes as set forth in the Purchase Agreement, and in order to provide the terms and conditions upon which the Notes are to be authenticated, issued and delivered, the Company has duly authorized the execution and delivery of this Indenture;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the Form of Specified Repurchase Date Repurchase Notice and the Form of Assignment and Transfer to be borne by the Notes are to be substantially in the forms hereinafter provided;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xml:space="preserve"> For all purposes of this Indenture, except as herein otherwise expressly provided or unless the context otherwise requires:</w:t>
      </w:r>
    </w:p>
    <w:p>
      <w:pPr>
        <w:spacing w:after="0" w:line="235" w:lineRule="exact"/>
        <w:rPr>
          <w:sz w:val="20"/>
          <w:szCs w:val="20"/>
          <w:color w:val="auto"/>
        </w:rPr>
      </w:pPr>
    </w:p>
    <w:p>
      <w:pPr>
        <w:ind w:left="660" w:right="20" w:firstLine="644"/>
        <w:spacing w:after="0" w:line="286" w:lineRule="auto"/>
        <w:tabs>
          <w:tab w:leader="none" w:pos="15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shall have the respective meanings assigned to them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and include the plural as well as the singular;</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(i) when used with regard to any specified Article, Section or sub-division, refer to such Article, Section or sub-division of this Indenture and (ii) otherwise, refer to this Indenture as a whole and not to any particular Article, Section or other subdivision;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660" w:right="4100" w:firstLine="644"/>
        <w:spacing w:after="0" w:line="498" w:lineRule="auto"/>
        <w:tabs>
          <w:tab w:leader="none" w:pos="15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Indenture and/or the Notes to dollars are to U.S. dollars. “</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shall have the meaning specified in Section 14.05(f).</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shall have the meaning specified in Section 4.10(a).</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Class A Ordinary Shares</w:t>
      </w:r>
      <w:r>
        <w:rPr>
          <w:rFonts w:ascii="Times New Roman" w:cs="Times New Roman" w:eastAsia="Times New Roman" w:hAnsi="Times New Roman"/>
          <w:sz w:val="18"/>
          <w:szCs w:val="18"/>
          <w:color w:val="auto"/>
        </w:rPr>
        <w:t>” shall have the meaning specified in Section‎ 14.03(a).</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4.04(d) and Section 6.03, as applicable.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 Depositary, as to any matter at any time, the policies and procedures of such Depositary, if any, that are applicable to such matter at such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each Monday, Tuesday, Wednesday, Thursday and Friday that is not a day on which banking institutions in the State of New York, Singapore, the Cayman Islands or, in the case of a payment under this Indenture, place of payment are authorized or obligated by law or executive order to close or be closed.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Called Notes</w:t>
      </w:r>
      <w:r>
        <w:rPr>
          <w:rFonts w:ascii="Times New Roman" w:cs="Times New Roman" w:eastAsia="Times New Roman" w:hAnsi="Times New Roman"/>
          <w:sz w:val="18"/>
          <w:szCs w:val="18"/>
          <w:color w:val="auto"/>
        </w:rPr>
        <w:t>” means Notes called for Optional Redemption, Tax Redemption or Cleanup Redemption pursuant to Article 16 or Notes subject to a Deemed Redemption.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Shares</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shares issued by that entity, but shall not include any debt securities convertible into or exchangeable for any securities otherwise constituting Capital Shares pursuant to this definition.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Tax Law</w:t>
      </w:r>
      <w:r>
        <w:rPr>
          <w:rFonts w:ascii="Times New Roman" w:cs="Times New Roman" w:eastAsia="Times New Roman" w:hAnsi="Times New Roman"/>
          <w:sz w:val="18"/>
          <w:szCs w:val="18"/>
          <w:color w:val="auto"/>
        </w:rPr>
        <w:t>” shall have the meaning specified in Section 16.03(a).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means the Class A ordinary shares of the Company, par value $0.0000001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V Ordinary Shares</w:t>
      </w:r>
      <w:r>
        <w:rPr>
          <w:rFonts w:ascii="Times New Roman" w:cs="Times New Roman" w:eastAsia="Times New Roman" w:hAnsi="Times New Roman"/>
          <w:sz w:val="18"/>
          <w:szCs w:val="18"/>
          <w:color w:val="auto"/>
        </w:rPr>
        <w:t>” means the Class V ordinary shares of the Company, par value $0.0000001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Cleanup Redemption</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“Cleanup Redemption Date” </w:t>
      </w:r>
      <w:r>
        <w:rPr>
          <w:rFonts w:ascii="Times New Roman" w:cs="Times New Roman" w:eastAsia="Times New Roman" w:hAnsi="Times New Roman"/>
          <w:sz w:val="18"/>
          <w:szCs w:val="18"/>
          <w:color w:val="auto"/>
        </w:rPr>
        <w:t>shall have the meaning specified in Section 16.02(b).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“Cleanup Redemption Notice</w:t>
      </w:r>
      <w:r>
        <w:rPr>
          <w:rFonts w:ascii="Times New Roman" w:cs="Times New Roman" w:eastAsia="Times New Roman" w:hAnsi="Times New Roman"/>
          <w:sz w:val="18"/>
          <w:szCs w:val="18"/>
          <w:color w:val="auto"/>
        </w:rPr>
        <w:t>” shall have the meaning specified in Section 16.02(b).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Shares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hereof, shall include its successors and assigns.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one of its Officers, and delivered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this Indenture shall be administered, which office at the date hereof is located at U.S. Bank Trust Company, National Association, 633 West 5th Street, 24th Floor, Los Angeles, California 90071, Attention: Bitdeer Technologies Group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forty (40) consecutive Trading Days during the Observation Period, 2.5% of the product of (a) the Conversion Rate in effect immediately after the close of business on such Trading Day and (b) the Daily VWAP for such Trading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40.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forty (40) consecutive Trading Days during the Observation Period, shall consist of:</w:t>
      </w:r>
    </w:p>
    <w:p>
      <w:pPr>
        <w:spacing w:after="0" w:line="229" w:lineRule="exact"/>
        <w:rPr>
          <w:sz w:val="20"/>
          <w:szCs w:val="20"/>
          <w:color w:val="auto"/>
        </w:rPr>
      </w:pPr>
    </w:p>
    <w:p>
      <w:pPr>
        <w:ind w:left="1540" w:hanging="236"/>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equal to the lesser of (i) the Daily Measurement Value and (ii) the Daily Conversion Value;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Daily Conversion Value exceeds the Daily Measurement Value, a number of Class A Ordinary Shares equal to (i) the difference between such Daily Conversion Value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forty (40) consecutive Trading Days during the relevant Observation Period, the per share volume-weighted average price as displayed under the heading “Bloomberg VWAP” on Bloomberg page “BTDR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Class A Ordinary Share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shall have the meaning specified in Section 14.01(b)(v).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means, initially, Physical Settlement.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or the Specified Repurchase Date Repurchase Price, principal and interest) that are payable but are not punctually paid or duly provided for.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solely for purposes of this Indenture and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14.05 and Section‎ 14.06,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Class A Ordinary Shares trade on the applicable exchange or in the applicable market, regular way, reflecting the relevant share split or share combination, as applicable (and for the avoidance of doubt, any alternative trading convention on the applicable exchange or market in respect of Class A Ordinary Shares under a separate ticker symbol or CUSIP number will not be considered “regular way” for this purpose).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the Class A Ordinary Shares trade on the applicable exchange or in the applicable market, regular way, without the right to receive the issuance, dividend or distribution in question, from the Company or, if applicable, from the seller of Class A Ordinary Shares on such exchange or market (in the form of due bills or otherwise) as determined by such exchange or market. For the avoidance of doubt, any alternative trading convention on the applicable exchange or market in respect of the Class A Ordinary Shares under a separate ticker symbol or CUSIP number will not be considered “regular way” for this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shall have the meaning specified in Section 15.02(d).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have the meaning specified in Section‎ 14.05(e).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means, with respect to any security of the Company, that such security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xml:space="preserve">” means the “Form of Assignment and Transfer” attached as Attachment 4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xml:space="preserve">” means the “Form of Fundamental Change Repurchase Notice” attached as Attachment 2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xml:space="preserve">” means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xml:space="preserve">” means the “Form of Notice of Conversion” attached as Attachment 1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Specified Repurchase Date Repurchase Notice</w:t>
      </w:r>
      <w:r>
        <w:rPr>
          <w:rFonts w:ascii="Times New Roman" w:cs="Times New Roman" w:eastAsia="Times New Roman" w:hAnsi="Times New Roman"/>
          <w:sz w:val="18"/>
          <w:szCs w:val="18"/>
          <w:color w:val="auto"/>
        </w:rPr>
        <w:t xml:space="preserve">” means the “Form of Specified Repurchase Date Repurchase Notice” attached as Attachment 3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9" w:lineRule="exact"/>
        <w:rPr>
          <w:sz w:val="20"/>
          <w:szCs w:val="20"/>
          <w:color w:val="auto"/>
        </w:rPr>
      </w:pPr>
    </w:p>
    <w:p>
      <w:pPr>
        <w:jc w:val="both"/>
        <w:ind w:firstLine="644"/>
        <w:spacing w:after="0" w:line="252" w:lineRule="auto"/>
        <w:tabs>
          <w:tab w:leader="none" w:pos="8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clause (b) below, (i) a “person” or “group” within the meaning of Section 13(d) of the Exchange Act, other than the Company and its Wholly Owned Subsidiaries, the employee benefit plans of the Company and its Wholly Owned Subsidiaries, and any Permitted Holder, becomes and files a Schedule TO or any schedule, form or report under the Exchange Act disclosing that such “person” or “group” has become, the direct or indirect “beneficial owner,” as defined in Rule 13d-3 under the Exchange Act, of the Company’s ordinary share capital representing more than 50% of the voting power of the Company’s ordinary share capital, or (ii) or the Permitted Holders, individually or in the aggregate, file a Schedule TO or any schedule, form or report under the Exchange Act disclosing that such person or group has become the direct or indirect “beneficial owner,” as defined in Rule 13d-3 under the Exchange Act, of more than 50% of the then outstanding Class A Ordinary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purposes of clause (ii), in calculating the beneficial ownership percentage of Class A Ordinary Shares held by any Permitted Holder, any Class A Ordinary Shares (1) beneficially owned directly or indirectly by any Permitted Holder on the date of the Offering Memorandum (including any Class A Ordinary Shares issued or issuable under employee benefit plans or upon conversion of the Class V Ordinary Shares) shall be excluded from both the numerator and denominator, and (2) deemed to be beneficially owned directly or indirectly by any Permitted Holder at any time solely because of voting proxy or agreements shall be excluded from the numerator;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purposes of both clause (i) and clause (ii), no “person” or “group” shall be deemed to be the beneficial owner of any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tendered pursuant to a tender or exchange offer made by or on behalf of such “person” or “group” until such tendered securities are accepted for purchase or exchange under such offer or if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w:t>
      </w:r>
    </w:p>
    <w:p>
      <w:pPr>
        <w:spacing w:after="0" w:line="191" w:lineRule="exact"/>
        <w:rPr>
          <w:rFonts w:ascii="Times New Roman" w:cs="Times New Roman" w:eastAsia="Times New Roman" w:hAnsi="Times New Roman"/>
          <w:sz w:val="18"/>
          <w:szCs w:val="18"/>
          <w:color w:val="auto"/>
        </w:rPr>
      </w:pPr>
    </w:p>
    <w:p>
      <w:pPr>
        <w:jc w:val="both"/>
        <w:ind w:firstLine="644"/>
        <w:spacing w:after="0" w:line="253" w:lineRule="auto"/>
        <w:tabs>
          <w:tab w:leader="none" w:pos="9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recapitalization, reclassification or change of the Class A Ordinary Shares (other than a change to par value, or from par value to no par value, or changes resulting from a subdivision or combination) as a result of which the Class A Ordinary Shares would be converted into, or exchanged for, stock, other securities, other property or assets; (ii) any share exchange, consolidation or merger of the Company, or any similar transaction, pursuant to which the Class A Ordinary Shares will be converted into cash, securities or other property or assets; or (iii)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transaction described in clauses (i) or (ii) in which the holders of all classes of the Company’s ordinary share capital immediately prior to such transaction own, directly or indirectly, more than 50% of all classes of Common Equity of the continuing or surviving corporation or transferee or the parent thereof immediately after such transaction in substantially the same proportions (vis-a-vis to each other) as such ownership immediately prior to such transaction shall not be a Fundamental Change pursuant to this clause (b);</w:t>
      </w:r>
    </w:p>
    <w:p>
      <w:pPr>
        <w:spacing w:after="0" w:line="194"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jc w:val="both"/>
        <w:ind w:firstLine="644"/>
        <w:spacing w:after="0" w:line="258" w:lineRule="auto"/>
        <w:tabs>
          <w:tab w:leader="none" w:pos="9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(or other Common Equity in respect of Reference Property) cease to be listed or quoted on any of The New York Stock Exchange, the Nasdaq Global Select Market, the Nasdaq Global Market or the Nasdaq Capital Market (or any of their respective successors) and none of the Class A Ordinary Shares (or other Common Equity in respect of Reference Property) is listed or quoted on one of The New York Stock Exchange, the Nasdaq Global Select Market, the Nasdaq Global Market or the Nasdaq Capital Market (or any of their respective successors) within one trading day of such cessation;</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(i) or clause (ii) above shall not constitute a Fundamental Change if at least 90%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consideration received or to be received by the holders of the Class A Ordinary Shares, excluding cash payments for fractional shares and cash payments made in respect of dissenters’ appraisal rights, in connection with such transaction or transactions consists of shares of equity interests that are listed or quoted on any of The New York Stock Exchange, The Nasdaq Global Select Market or The Nasdaq Global Market or The Nasdaq Capital Market (or any of their respective successors) or will be so listed or quoted when issued or exchanged in connection with such transaction or transactions and as a result of such transaction or transactions such consideration, excluding cash payments for fractional shares and cash payments made in respect of dissenters’ appraisal rights becomes Reference Property for the Notes.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sent</w:t>
      </w:r>
      <w:r>
        <w:rPr>
          <w:rFonts w:ascii="Times New Roman" w:cs="Times New Roman" w:eastAsia="Times New Roman" w:hAnsi="Times New Roman"/>
          <w:sz w:val="18"/>
          <w:szCs w:val="18"/>
          <w:color w:val="auto"/>
        </w:rPr>
        <w:t>” with respect to any notice to be given to a Holder pursuant to this Indenture, shall mean notice</w:t>
      </w:r>
    </w:p>
    <w:p>
      <w:pPr>
        <w:spacing w:after="0" w:line="31" w:lineRule="exact"/>
        <w:rPr>
          <w:sz w:val="20"/>
          <w:szCs w:val="20"/>
          <w:color w:val="auto"/>
        </w:rPr>
      </w:pPr>
    </w:p>
    <w:p>
      <w:pPr>
        <w:jc w:val="both"/>
        <w:ind w:firstLine="8"/>
        <w:spacing w:after="0" w:line="253" w:lineRule="auto"/>
        <w:tabs>
          <w:tab w:leader="none" w:pos="2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January 1 and July 1 of each year, beginning on January 1,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date of original issuance</w:t>
      </w:r>
      <w:r>
        <w:rPr>
          <w:rFonts w:ascii="Times New Roman" w:cs="Times New Roman" w:eastAsia="Times New Roman" w:hAnsi="Times New Roman"/>
          <w:sz w:val="18"/>
          <w:szCs w:val="18"/>
          <w:color w:val="auto"/>
        </w:rPr>
        <w:t>” means (a) with respect to any Notes issued pursuant to the Offering Memorandum, and any Notes issued in exchange therefor or in substitution thereof, the later of (i) the date the Company first issues such Notes and (ii) the last date any Notes are originally issued pursuant to the exercise of the Initial Purchasers’ option to purchase additional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Class A Ordinary Shares (or other security for which a closing sale price must be determined) on any date means the closing sale price per Class A Ordinary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Class A Ordinary Shares (or such other security) are traded. If the Class A Ordinary Shares (or such other security) are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Class A Ordinary Shares (or such other security) in the over-the-counter market on the relevant date as reported by OTC Markets Group Inc. or a similar organization. If the Class A Ordinary Shares (or such other security) are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Class A Ordinary Shares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regular trading session hours.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Liquidity Conditions</w:t>
      </w:r>
      <w:r>
        <w:rPr>
          <w:rFonts w:ascii="Times New Roman" w:cs="Times New Roman" w:eastAsia="Times New Roman" w:hAnsi="Times New Roman"/>
          <w:sz w:val="18"/>
          <w:szCs w:val="18"/>
          <w:color w:val="auto"/>
        </w:rPr>
        <w:t xml:space="preserve">” with respect to any Optional Redemption Notice shall be “satisfied” if each of the following conditions have been satisfied as of the date the Company sends the related Optional Redemption Notice and is reasonably expected to continue to be satisfied through at least the 30th calendar day after the Redemption Date for the related Optional Redemption: (1) the Company has filed all reports and other materials required to be filed by Section 13 or 15(d) of the Exchange Act, as applicable, during the preceding 12 months (or for such shorter period that the Company was required to file such reports and other materials), after giving effect to all applicable grace periods thereunder and other than current reports on Form 8-K; and (2) the Class A Ordinary Shares, if any, issued or issuable upon conversion of the Notes are freely tradable;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Liquidity Conditions shall also be deemed to be satisfied with respect to such Optional Redemption Notice if, in accordance with Section 14.02(a), the Company has elected to settle all conversions of Called Notes with a Conversion Date that occurs during the Redemption Period by Cash Settlement.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means any transaction or event that constitutes a Fundamental Change (determined after giving effect to any exceptions to or exclusions from such definition, but without regard to the proviso in clause (b) of the definition thereof).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Class A Ordinary Shares listed or admitted for trading to open for trading during its regular trading session or (b) the occurrence or existence prior to 1:00 p.m., New York City time, on any Scheduled Trading Day for the Class A Ordinary Shares for more than one half-hour period in the aggregate during regular trading hours of any suspension or limitation imposed on trading (by reason of movements in price exceeding limits permitted by the relevant stock exchange or otherwise) in the Class A Ordinary Shares or in any options contracts or futures contracts relating to the Class A Ordinary Shares.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July 1, 2031.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recitals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Custodian</w:t>
      </w:r>
      <w:r>
        <w:rPr>
          <w:rFonts w:ascii="Times New Roman" w:cs="Times New Roman" w:eastAsia="Times New Roman" w:hAnsi="Times New Roman"/>
          <w:sz w:val="18"/>
          <w:szCs w:val="18"/>
          <w:color w:val="auto"/>
        </w:rPr>
        <w:t>” means the Trustee, as custodian for DTC, with respect to the Global Notes,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specific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specific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April 1, 2031, the forty (40) consecutive Trading Day period beginning on, and including, the second Trading Day immediately succeeding such Conversion Date; (ii) with respect to any Called Notes, if the relevant Conversion Date occurs during the related Redemption Period, the forty (40) consecutive Trading Days beginning on, and including, the 41st Scheduled Trading Day immediately preceding such Redemption Date; and (iii) subject to clause (ii), if the relevant Conversion Date occurs on or after April 1, 2031, the forty (40) consecutive Trading Days beginning on, and including, the 41st Scheduled Trading Day immediately preceding the Maturity Date.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June 17, 2025, as supplemented by the related pricing term sheet dated June 17, 2025, relating to the offering and sale of the Notes.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Date</w:t>
      </w:r>
      <w:r>
        <w:rPr>
          <w:rFonts w:ascii="Times New Roman" w:cs="Times New Roman" w:eastAsia="Times New Roman" w:hAnsi="Times New Roman"/>
          <w:sz w:val="18"/>
          <w:szCs w:val="18"/>
          <w:color w:val="auto"/>
        </w:rPr>
        <w:t>” shall have the meaning specified in Section 16.01(b).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Notice</w:t>
      </w:r>
      <w:r>
        <w:rPr>
          <w:rFonts w:ascii="Times New Roman" w:cs="Times New Roman" w:eastAsia="Times New Roman" w:hAnsi="Times New Roman"/>
          <w:sz w:val="18"/>
          <w:szCs w:val="18"/>
          <w:color w:val="auto"/>
        </w:rPr>
        <w:t>” shall have the meaning specified in Section 16.01(b).</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59" w:lineRule="exact"/>
        <w:rPr>
          <w:sz w:val="20"/>
          <w:szCs w:val="20"/>
          <w:color w:val="auto"/>
        </w:rPr>
      </w:pPr>
    </w:p>
    <w:p>
      <w:pPr>
        <w:ind w:left="1540" w:hanging="236"/>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the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second paragraph of Section 2.06 or Notes in lieu of which, or in substitution for which, other Notes shall have been authenticated and delivered pursuant to the terms of Section 2.06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unless proof satisfactory to the Trustee is presented that any such Notes are held by protected purchasers in due course;</w:t>
      </w:r>
    </w:p>
    <w:p>
      <w:pPr>
        <w:spacing w:after="0" w:line="17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and required to be cancelled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2.08;</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(i) Section 15.01 and Section 15.02 and (ii) Section 2.10 and delivered to the Trustee for cancellation in accordance with Section 2.10;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shall have the meaning specified in Section 16.01(a).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the Company or the Person appointed by the Company in accordance with Section 4.02. The Trustee has been initially appointed as the Paying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w:t>
      </w:r>
      <w:r>
        <w:rPr>
          <w:rFonts w:ascii="Times New Roman" w:cs="Times New Roman" w:eastAsia="Times New Roman" w:hAnsi="Times New Roman"/>
          <w:sz w:val="18"/>
          <w:szCs w:val="18"/>
          <w:color w:val="auto"/>
        </w:rPr>
        <w:t>” means (i) Jihan Wu and (ii) the “Founder Entities” as defined in the Company’s Amended and Restated Memorandum and Articles of Association as of the date of this Indenture.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minimum denominations of $1,000 principal amount and integral multiples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purchase agreement, dated June 17, 2025, by and among the Company, Barclays Capital Inc. and BTIG, LLC, as representatives of the several initial purchasers named in Schedule I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relating to the offering and sale of the Notes.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Successor Entity</w:t>
      </w:r>
      <w:r>
        <w:rPr>
          <w:rFonts w:ascii="Times New Roman" w:cs="Times New Roman" w:eastAsia="Times New Roman" w:hAnsi="Times New Roman"/>
          <w:sz w:val="18"/>
          <w:szCs w:val="18"/>
          <w:color w:val="auto"/>
        </w:rPr>
        <w:t xml:space="preserve">” means, with respect to a Business Combination Event,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 if such Business Combination Event is an Exempted Fundamental Change, then a limited liability company, limited partnership or other similar entity also will constitute a Qualified Successor Entity with respect to such Business Combination Event; and (ii) a limited liability company or limited partnership that is the resulting, surviving or transferee person of such Business Combination Event also will constitute a Qualified Successor Entity with respect to such Business Combination Event, provided that, in the case of this clause (ii), (1) if such limited liability company or limited partnership is not treated as a corporation or an entity disregarded as separate from a corporation, in each case for U.S. federal income tax purposes, (x) the Company has received an opinion of a nationally recognized tax counsel to the effect that such Business Combination Event will not be treated as an exchange under Section 1001 of the Code for Holders or beneficial owners of the Notes and (y) such limited liability company or limited partnership is a direct or indirect, Wholly Owned Subsidiary of a corporation duly organized and existing under the laws of the United States of America, any State thereof, the District of Columbia, the Cayman Islands, the British Virgin Islands, Bermuda, Singapore or Hong Kong and (2) such Business Combination Event constitutes a Share Exchange Event whose Reference Property consists solely of any combination of U.S. dollars and shares of common stock or other corporate Common Equity interests of a corporation described in clause (1)(y).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the Class A Ordinary Shares (or other applicable security) have the right to receive any cash, securities or other property or in which the Class A Ordinary Shares (or such other security) are exchanged for or converted into any combination of cash, securities or other property, the date fixed for determination of security holders entitled to receive such cash, securities or other property (whether such date is fixed by the Board of Directors, statute,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an Optional Redemption, Cleanup Redemption or a Tax Redemption,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means an Optional Redemption Date, Cleanup Redemption Date or a Tax Redemption Date,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means an Optional Redemption Notice, Cleanup Redemption Notice or a Tax Redemption Notice, as applicable.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with respect to an Optional Redemption, Cleanup Redemption or a Tax Redemption, the period from, and including, the date on which the Company delivers the applicable Redemption Notice until the close of business on the second business day immediately preceding the applicable Redemption Date, unless the Company fails to pay the Redemption Price (in which case a Holder of a Note called for redemption may convert such Note until the second Business Day immediately preceding the date on which the Redemption Price has been paid or duly provided for) during which a Holder may convert all or any portion of such Holder’s Called Notes.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Article 16,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on, or at the Company’s election, before such Interest Payment Date to Holders of record of such Notes as of the close of business on such Regular Record Date, and the Redemption Price will be equal to 100% of the principal amount of such Notes).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Reference Date</w:t>
      </w:r>
      <w:r>
        <w:rPr>
          <w:rFonts w:ascii="Times New Roman" w:cs="Times New Roman" w:eastAsia="Times New Roman" w:hAnsi="Times New Roman"/>
          <w:sz w:val="18"/>
          <w:szCs w:val="18"/>
          <w:color w:val="auto"/>
        </w:rPr>
        <w:t>” means the date on which a Redemption Notice is given pursuant to an Optional Redemption, Cleanup Redemption or Tax Redemption.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Reference Price</w:t>
      </w:r>
      <w:r>
        <w:rPr>
          <w:rFonts w:ascii="Times New Roman" w:cs="Times New Roman" w:eastAsia="Times New Roman" w:hAnsi="Times New Roman"/>
          <w:sz w:val="18"/>
          <w:szCs w:val="18"/>
          <w:color w:val="auto"/>
        </w:rPr>
        <w:t>” means the average of the Last Reported Sale Price of the Class A Ordinary Shares over the five (5) consecutive Trading Day period ending on, and including, the Trading Day immediately preceding the Redemption Reference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14.08(a).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December 15 and June 15 (whether or not such day is a Business Day) immediately preceding the applicable January 1 and July 1 Interest Payment Date, respectively.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 shall have the meaning specified in Section 4.10(a).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shall have the meaning specified in Section 4.10(a).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an officer within the corporate trust department of the Trustee responsible for the administration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Class A Ordinary Shares are listed or admitted for trading. If the Class A Ordinary Shares are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by the Commission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shall have the meaning specified in Section‎ 14.03(c).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a Subsidiary of the Company is a “significant subsidiary” as defined in Article 1, Rule 1-02(w)(1) of Regulation S-X under the Exchange Act (or any successor rule),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and to the extent paragraph (w)(1)(iii)(A)(2) does not apply to the determination of whether the income test in paragraph (w)(1)(iii) is met, in the case of a Subsidiary that meets the criteria of clause (iii) of the definition thereof but not clause (i) or (ii) thereof, in each case as such rule is in effect on the date of the Offering Memorandum, such Subsidiary shall not be deemed to be a Significant Subsidiary unless the Subsidiary’s income or loss from continuing operations before income taxes, exclusive of amounts attributable to any non-controlling interests, for the last completed fiscal year prior to the date of such determination exceeds $25,000,000. For the avoidance of doubt, to the extent any such Subsidiary would not be deemed to be a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under the relevant definition set forth in Article 1, Rule 1-02(w)(1) of Regulation S-X (or any successor rule) as in effect on the relevant date of determination, such Subsidiary shall not be deemed to be a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under this Indenture irrespective of whether such Subsidiary would otherwise be deemed to be a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after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proviso in the immediately preceding sentence.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(or deemed specified) in the Settlement Notice related to any converted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w:t>
      </w:r>
      <w:r>
        <w:rPr>
          <w:rFonts w:ascii="Times New Roman" w:cs="Times New Roman" w:eastAsia="Times New Roman" w:hAnsi="Times New Roman"/>
          <w:sz w:val="18"/>
          <w:szCs w:val="18"/>
          <w:color w:val="auto"/>
        </w:rPr>
        <w:t>” shall have the meaning specified in Section 15.01(a).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 Date</w:t>
      </w:r>
      <w:r>
        <w:rPr>
          <w:rFonts w:ascii="Times New Roman" w:cs="Times New Roman" w:eastAsia="Times New Roman" w:hAnsi="Times New Roman"/>
          <w:sz w:val="18"/>
          <w:szCs w:val="18"/>
          <w:color w:val="auto"/>
        </w:rPr>
        <w:t>” shall have the meaning specified in Section 15.01(a).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 Date Repurchase Notice</w:t>
      </w:r>
      <w:r>
        <w:rPr>
          <w:rFonts w:ascii="Times New Roman" w:cs="Times New Roman" w:eastAsia="Times New Roman" w:hAnsi="Times New Roman"/>
          <w:sz w:val="18"/>
          <w:szCs w:val="18"/>
          <w:color w:val="auto"/>
        </w:rPr>
        <w:t>” shall have the meaning specified in Section 15.01(b).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 Date Repurchase Price</w:t>
      </w:r>
      <w:r>
        <w:rPr>
          <w:rFonts w:ascii="Times New Roman" w:cs="Times New Roman" w:eastAsia="Times New Roman" w:hAnsi="Times New Roman"/>
          <w:sz w:val="18"/>
          <w:szCs w:val="18"/>
          <w:color w:val="auto"/>
        </w:rPr>
        <w:t>” shall have the meaning specified in Section 15.01(a).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ind w:left="220" w:hanging="212"/>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such Person and one or more Subsidiaries of such Person; or (iii) one or more Subsidiaries of such Person.</w:t>
      </w:r>
    </w:p>
    <w:p>
      <w:pPr>
        <w:spacing w:after="0" w:line="202" w:lineRule="exact"/>
        <w:rPr>
          <w:rFonts w:ascii="Times New Roman" w:cs="Times New Roman" w:eastAsia="Times New Roman" w:hAnsi="Times New Roman"/>
          <w:sz w:val="18"/>
          <w:szCs w:val="18"/>
          <w:color w:val="auto"/>
        </w:rPr>
      </w:pPr>
    </w:p>
    <w:p>
      <w:pPr>
        <w:ind w:left="660" w:right="490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 Entity</w:t>
      </w:r>
      <w:r>
        <w:rPr>
          <w:rFonts w:ascii="Times New Roman" w:cs="Times New Roman" w:eastAsia="Times New Roman" w:hAnsi="Times New Roman"/>
          <w:sz w:val="17"/>
          <w:szCs w:val="17"/>
          <w:color w:val="auto"/>
        </w:rPr>
        <w:t>” shall have the meaning specified in Section‎ 11.01(a). “</w:t>
      </w:r>
      <w:r>
        <w:rPr>
          <w:rFonts w:ascii="Times New Roman" w:cs="Times New Roman" w:eastAsia="Times New Roman" w:hAnsi="Times New Roman"/>
          <w:sz w:val="17"/>
          <w:szCs w:val="17"/>
          <w:b w:val="1"/>
          <w:bCs w:val="1"/>
          <w:color w:val="auto"/>
        </w:rPr>
        <w:t>Tax Redemption</w:t>
      </w:r>
      <w:r>
        <w:rPr>
          <w:rFonts w:ascii="Times New Roman" w:cs="Times New Roman" w:eastAsia="Times New Roman" w:hAnsi="Times New Roman"/>
          <w:sz w:val="17"/>
          <w:szCs w:val="17"/>
          <w:color w:val="auto"/>
        </w:rPr>
        <w:t>” shall have the meaning specified in Section 16.03(a). “</w:t>
      </w:r>
      <w:r>
        <w:rPr>
          <w:rFonts w:ascii="Times New Roman" w:cs="Times New Roman" w:eastAsia="Times New Roman" w:hAnsi="Times New Roman"/>
          <w:sz w:val="17"/>
          <w:szCs w:val="17"/>
          <w:b w:val="1"/>
          <w:bCs w:val="1"/>
          <w:color w:val="auto"/>
        </w:rPr>
        <w:t>Tax Redemption Date</w:t>
      </w:r>
      <w:r>
        <w:rPr>
          <w:rFonts w:ascii="Times New Roman" w:cs="Times New Roman" w:eastAsia="Times New Roman" w:hAnsi="Times New Roman"/>
          <w:sz w:val="17"/>
          <w:szCs w:val="17"/>
          <w:color w:val="auto"/>
        </w:rPr>
        <w:t>” shall have the meaning specified in Section 16.03(e).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Redemption Notice</w:t>
      </w:r>
      <w:r>
        <w:rPr>
          <w:rFonts w:ascii="Times New Roman" w:cs="Times New Roman" w:eastAsia="Times New Roman" w:hAnsi="Times New Roman"/>
          <w:sz w:val="18"/>
          <w:szCs w:val="18"/>
          <w:color w:val="auto"/>
        </w:rPr>
        <w:t>” shall have the meaning specified in Section 16.03(e).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except for determining amounts due upon conversion, a day on which (i) trading in the Class A Ordinary Shares (or other security for which a closing sale price must be determined) generally occurs on the Nasdaq Capital Market or, if the Class A Ordinary Shares (or such other security) are not then listed on the Nasdaq Capital Market, on the principal other U.S. national or regional securities exchange on which the Class A Ordinary Shares (or such other security) are then listed or, if the Class A Ordinary Shares (or such other security) are not then listed on a U.S. national or regional securities exchange, on the principal other market on which the Class A Ordinary Shares (or such other security) are then traded, and (ii) a Last Reported Sale Price for the Class A Ordinary Shares (or closing sale price for such other security) is available on such securities exchange or market;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Class A Ordinary Shares (or such other security) are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 and</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for the purposes of determining amounts are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(i) there is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 Event and (ii) trading in the Class A Ordinary Shares generally occurs on the Nasdaq Capital Market or, if the Class A Ordinary Shares are not then listed on the Nasdaq Capital Market, on the principal other U.S. national or regional securities exchange on which the Class A Ordinary Shares are then listed or, if the Class A Ordinary Shares are not then listed on a U.S. national or regional securities exchange, on the principal other market on which the Class A Ordinary Shares are then listed or admitted for trading, except that if the Class A Ordinary Shares are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means, with respect to the Notes and any date of determination, the average of the secondary market bid quotations obtained by the Bid Solicitation Agent for $2,000,000 principal amount of Notes at approximately 3:30 p.m., New York City time, on such determination date from three independent nationally recognized securities dealers the Company selects for this purpose; provided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$2,000,000 principal amount of Notes from a nationally recognized securities dealer, then the Trading Price per $1,000 principal amount of Notes on such determination date shall be deemed to be less than 98% of the product of the Last Reported Sale Price of the Class A Ordinary Shares and the Conversion Rate. Any such determination will be conclusive absent manifest error.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14.08(a).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Capital Shares or other interests in the relevant Subsidiary not held by such person to the extent required to satisfy local minority interest requirements outside of the United States.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References to Interest.</w:t>
      </w:r>
      <w:r>
        <w:rPr>
          <w:rFonts w:ascii="Times New Roman" w:cs="Times New Roman" w:eastAsia="Times New Roman" w:hAnsi="Times New Roman"/>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Amount.</w:t>
      </w:r>
      <w:r>
        <w:rPr>
          <w:rFonts w:ascii="Times New Roman" w:cs="Times New Roman" w:eastAsia="Times New Roman" w:hAnsi="Times New Roman"/>
          <w:sz w:val="18"/>
          <w:szCs w:val="18"/>
          <w:color w:val="auto"/>
        </w:rPr>
        <w:t xml:space="preserve"> The Notes shall be designated as the “4.875% Convertible Senior Notes due 2031.” The aggregate principal amount of Notes that may be authenticated and delivered under this Indenture is initially limited to $330,000,000 plus up to an additional $45,000,000 principal amount of any additional Notes purchased by the Initial Purchasers pursuant to the exercise of their option to purchase additional Notes as set forth in the Purchase Agreement, subject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2.10 and except for Notes authenticated and delivered upon registration or transfer of, or in exchange for, or in lieu of other Notes to the extent expressly permitted hereunder.</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Note Custodian or the Depositary, or as may be required to comply with any applicable law or any regulation thereunder or with the rules and regulations of any securities exchange or automated quotation system upon which the Notes may be listed,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Note Custodian, at the direction of the Trustee, in such manner and upon instructions given by the Holder of such Notes in accordance with this Indenture. Payment of principal (including the Redemption Price, the Fundamental Change Repurchase Price and the Specified Repurchase Date Repurchase Price, if applicable) of, and accrued and unpaid interest on, a Global Note shall be made to the Holder of such Note on the date of payment, unless a record date or other means of determining Holders eligible to receive payment is </w:t>
      </w:r>
      <w:r>
        <w:rPr>
          <w:rFonts w:ascii="Times New Roman" w:cs="Times New Roman" w:eastAsia="Times New Roman" w:hAnsi="Times New Roman"/>
          <w:sz w:val="18"/>
          <w:szCs w:val="18"/>
          <w:i w:val="1"/>
          <w:iCs w:val="1"/>
          <w:color w:val="auto"/>
        </w:rPr>
        <w:t>provided for herein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Date and Denomination of Notes; Payments of Interest and Defaulted Amounts.</w:t>
      </w:r>
    </w:p>
    <w:p>
      <w:pPr>
        <w:spacing w:after="0" w:line="227" w:lineRule="exact"/>
        <w:rPr>
          <w:sz w:val="20"/>
          <w:szCs w:val="20"/>
          <w:color w:val="auto"/>
        </w:rPr>
      </w:pPr>
    </w:p>
    <w:p>
      <w:pPr>
        <w:jc w:val="both"/>
        <w:ind w:left="660" w:firstLine="644"/>
        <w:spacing w:after="0" w:line="261" w:lineRule="auto"/>
        <w:tabs>
          <w:tab w:leader="none" w:pos="155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8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Corporate Trust Office of the Trustee and (y) in the case of any Global Note, shall be payable by wire transfer of immediately available funds to the account of the Depositary or its nominee. The Company shall pay, or cause the Paying Agent to pay (to the extent funded by the Company), interest (i) on any Physical Notes (A) to Holders holding Physical Notes having an aggregate principal amount of $5,000,000 or less, by check mailed (at the Company’s expense) to the Holders of these Notes at their addresses as they appear in the Note Register and (B) to Holders holding Physical Notes having an aggregate principal amount of more than $5,000,000, either by check mailed (at the Company’s expense) to each such Holder or, upon application by such a Holder to the Trustee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Trustee to the contrary, or</w:t>
      </w:r>
    </w:p>
    <w:p>
      <w:pPr>
        <w:spacing w:after="0" w:line="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Global Note by wire transfer of immediately available funds to the account of the Depositary or its nominee.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left="-460" w:firstLine="644"/>
        <w:spacing w:after="0" w:line="261" w:lineRule="auto"/>
        <w:tabs>
          <w:tab w:leader="none" w:pos="4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0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 2.03(c).</w:t>
      </w:r>
    </w:p>
    <w:p>
      <w:pPr>
        <w:spacing w:after="0" w:line="194"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The Trustee shall have no responsibility whatsoever for the calculation of the Defaulted Amounts.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doubt, the Company may make payment of any Defaulted Amounts and any interest thereon relating to any amounts due upon conversion of the Notes (other than interest) in a manner other than as provided in Section 2.03(c)(i); provided that such manner would be permitted under the terms of this Indenture if such amounts due upon conversion were not Defaulted Amounts.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Execution, Authentication and Delivery of Notes</w:t>
      </w:r>
      <w:r>
        <w:rPr>
          <w:rFonts w:ascii="Times New Roman" w:cs="Times New Roman" w:eastAsia="Times New Roman" w:hAnsi="Times New Roman"/>
          <w:sz w:val="18"/>
          <w:szCs w:val="18"/>
          <w:color w:val="auto"/>
        </w:rPr>
        <w:t>. The Notes shall be signed in the name and on behalf of the Company by the manual, facsimile or other electronic signature of its Chief Executive Officer, President, Chief Financial Officer, Chief Accounting Officer, Treasurer, General Counsel, Secretary, any of its Executive, Senior Vice Presidents or Directors.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Section 17.05, the Trustee shall be entitled to receive an Officer's Certificate and an Opinion of Counsel of the Company with respect to the issuance, authentication and delivery of such Notes.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Exchange and Registration of Transfer of Notes; Restrictions on Transfer; Depositary.</w:t>
      </w:r>
    </w:p>
    <w:p>
      <w:pPr>
        <w:spacing w:after="0" w:line="227" w:lineRule="exact"/>
        <w:rPr>
          <w:sz w:val="20"/>
          <w:szCs w:val="20"/>
          <w:color w:val="auto"/>
        </w:rPr>
      </w:pPr>
    </w:p>
    <w:p>
      <w:pPr>
        <w:jc w:val="both"/>
        <w:ind w:left="660" w:firstLine="644"/>
        <w:spacing w:after="0" w:line="256" w:lineRule="auto"/>
        <w:tabs>
          <w:tab w:leader="none" w:pos="15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Registrars in accordance with Section 4.02.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transfer agent or the Note Registrar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 of the Company, the Trustee or the Note Registrar shall be required to exchange or register a transfer of (1) any Notes selected for</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Redemption in accordance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 except the unredeemed portion of any Note being redeemed in part, (2) any Notes surrendered for conversion or, if a portion of any Note is surrendered for conversion, such portion thereof surrendered for conversion or (3) any Notes, or a portion of any Note, surrendered for repurchase (and not withdrawn)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15 upon a Fundamental Change or the Specified Repurchase.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0" w:name="page31"/>
    <w:bookmarkEnd w:id="30"/>
    <w:p>
      <w:pPr>
        <w:ind w:left="920" w:hanging="276"/>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paragraph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xml:space="preserve">”) registered in the name of the Depositary or the nominee of the Depositary. Each Global Note shall bear the legend required on a Global Note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transfer and exchange of beneficial interests in a Global Note that does not involve the issuance of a Physical Note shall be effected through the Depositary (but not the Trustee or the Note Custodian) in accordance with this Indenture (including the restrictions on transfer set forth herein) and the Applicable Procedures of the Depositary therefor.</w:t>
      </w:r>
    </w:p>
    <w:p>
      <w:pPr>
        <w:spacing w:after="0" w:line="186" w:lineRule="exact"/>
        <w:rPr>
          <w:rFonts w:ascii="Times New Roman" w:cs="Times New Roman" w:eastAsia="Times New Roman" w:hAnsi="Times New Roman"/>
          <w:sz w:val="18"/>
          <w:szCs w:val="18"/>
          <w:color w:val="auto"/>
        </w:rPr>
      </w:pPr>
    </w:p>
    <w:p>
      <w:pPr>
        <w:jc w:val="both"/>
        <w:ind w:firstLine="644"/>
        <w:spacing w:after="0" w:line="256" w:lineRule="auto"/>
        <w:tabs>
          <w:tab w:leader="none" w:pos="9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Restrictive Notes Legend (together with any Class A Ordinary Shares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shall be subject to the restrictions on transfer set forth in this Section 2.05(c) (including the Restrictive Notes Legend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“transfer” encompasses any sale, pledge, transfer or other disposition whatsoever of any Restricted Security.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evidencing such Note (and all securities issued in exchange therefor or substitution thereof, other than Class A Ordinary Shares,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jc w:val="both"/>
        <w:ind w:left="640" w:firstLine="652"/>
        <w:spacing w:after="0" w:line="266" w:lineRule="auto"/>
        <w:tabs>
          <w:tab w:leader="none" w:pos="15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1" w:name="page32"/>
    <w:bookmarkEnd w:id="31"/>
    <w:p>
      <w:pPr>
        <w:ind w:left="640" w:firstLine="652"/>
        <w:spacing w:after="0" w:line="282" w:lineRule="auto"/>
        <w:tabs>
          <w:tab w:leader="none" w:pos="15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BITDEER TECHNOLOGIES GROUP (THE “COMPANY”) THAT IT WILL NOT OFFER, SELL, PLEDGE OR OTHERWISE TRANSFER THIS SECURITY OR ANY BENEFICIAL INTEREST HEREIN, EXCEPT:</w:t>
      </w:r>
    </w:p>
    <w:p>
      <w:pPr>
        <w:spacing w:after="0" w:line="161" w:lineRule="exact"/>
        <w:rPr>
          <w:rFonts w:ascii="Times New Roman" w:cs="Times New Roman" w:eastAsia="Times New Roman" w:hAnsi="Times New Roman"/>
          <w:sz w:val="18"/>
          <w:szCs w:val="18"/>
          <w:color w:val="auto"/>
        </w:rPr>
      </w:pPr>
    </w:p>
    <w:p>
      <w:pPr>
        <w:ind w:left="2240" w:hanging="300"/>
        <w:spacing w:after="0"/>
        <w:tabs>
          <w:tab w:leader="none" w:pos="2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300" w:right="20" w:firstLine="640"/>
        <w:spacing w:after="0" w:line="282" w:lineRule="auto"/>
        <w:tabs>
          <w:tab w:leader="none" w:pos="228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 ACT, OR</w:t>
      </w:r>
    </w:p>
    <w:p>
      <w:pPr>
        <w:spacing w:after="0" w:line="161" w:lineRule="exact"/>
        <w:rPr>
          <w:rFonts w:ascii="Times New Roman" w:cs="Times New Roman" w:eastAsia="Times New Roman" w:hAnsi="Times New Roman"/>
          <w:sz w:val="18"/>
          <w:szCs w:val="18"/>
          <w:color w:val="auto"/>
        </w:rPr>
      </w:pPr>
    </w:p>
    <w:p>
      <w:pPr>
        <w:ind w:left="1300" w:firstLine="640"/>
        <w:spacing w:after="0" w:line="282" w:lineRule="auto"/>
        <w:tabs>
          <w:tab w:leader="none" w:pos="2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 OR</w:t>
      </w:r>
    </w:p>
    <w:p>
      <w:pPr>
        <w:spacing w:after="0" w:line="161" w:lineRule="exact"/>
        <w:rPr>
          <w:rFonts w:ascii="Times New Roman" w:cs="Times New Roman" w:eastAsia="Times New Roman" w:hAnsi="Times New Roman"/>
          <w:sz w:val="18"/>
          <w:szCs w:val="18"/>
          <w:color w:val="auto"/>
        </w:rPr>
      </w:pPr>
    </w:p>
    <w:p>
      <w:pPr>
        <w:jc w:val="both"/>
        <w:ind w:left="1300" w:firstLine="640"/>
        <w:spacing w:after="0" w:line="266" w:lineRule="auto"/>
        <w:tabs>
          <w:tab w:leader="none" w:pos="2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transfer of any Note required to bear the legend above will be registered by the Note Registrar unless the applicable box on the Form of Assignment and Transfer has been checked.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(i) that has been transferred pursuant to a registration statement that has become effective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The Company shall promptly notify the Trustee in writing after a registration statement, if any, with respect to the Notes or any Class A Ordinary Shares issued upon conversion of the Notes has become or been declared effective under the Securities Act.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DTC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Global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upon a Fundamental Change or the Specified Repurchase, redeemed or transferred, such Global Note shall be, upon receipt thereof, canceled by the Trustee in accordance with standing procedures and existing instructions between the Depositary and the Note Custodian. At any time prior to such cancellation, if any interest in a Global Note is exchanged for Physical Notes, converted, canceled, repurchased upon a Fundamental Change or the Specified Repurchase,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Note Custodian, be appropriately reduced or increased, as the case may be, and an endorsement shall be made on such Global Note, by the Trustee or the Note Custodian, at the direction of the Trustee, to reflect such reduction or increase.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Trustee (including in its capacity as Paying Agent)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beneficial ownership interests of a Global Note or maintaining, supervising or reviewing any records relating to such beneficial ownership interests.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Company nor the Trustee, Paying Agent or Conversion Agent shall have any responsibility or liability for any actions taken or not taken by the Depositary.</w:t>
      </w:r>
    </w:p>
    <w:p>
      <w:pPr>
        <w:spacing w:after="0" w:line="162" w:lineRule="exact"/>
        <w:rPr>
          <w:sz w:val="20"/>
          <w:szCs w:val="20"/>
          <w:color w:val="auto"/>
        </w:rPr>
      </w:pPr>
    </w:p>
    <w:p>
      <w:pPr>
        <w:jc w:val="both"/>
        <w:ind w:firstLine="644"/>
        <w:spacing w:after="0" w:line="254"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representing Class A Ordinary Shares issued upon conversion of a Note shall bear a legend in substantially the following form (unless such share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Class A Ordinary Shares have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Class A Ordinary Shares):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jc w:val="both"/>
        <w:ind w:left="640" w:firstLine="4"/>
        <w:spacing w:after="0" w:line="266" w:lineRule="auto"/>
        <w:tabs>
          <w:tab w:leader="none" w:pos="9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4" w:name="page35"/>
    <w:bookmarkEnd w:id="34"/>
    <w:p>
      <w:pPr>
        <w:ind w:left="640" w:right="20" w:firstLine="4"/>
        <w:spacing w:after="0" w:line="282" w:lineRule="auto"/>
        <w:tabs>
          <w:tab w:leader="none" w:pos="9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BITDEER TECHNOLOGIES GROUP (THE “COMPANY”) THAT IT WILL NOT OFFER, SELL, PLEDGE OR OTHERWISE TRANSFER THIS SECURITY OR ANY BENEFICIAL INTEREST HEREIN, EXCEPT:</w:t>
      </w:r>
    </w:p>
    <w:p>
      <w:pPr>
        <w:spacing w:after="0" w:line="161"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w:t>
      </w:r>
    </w:p>
    <w:p>
      <w:pPr>
        <w:spacing w:after="0" w:line="206"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640" w:firstLine="652"/>
        <w:spacing w:after="0" w:line="282" w:lineRule="auto"/>
        <w:tabs>
          <w:tab w:leader="none" w:pos="16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COMPANY’S TRANSFER AGENT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such Class A Ordinary Shares (i) that has been transferred pursuant to a registration statement that has become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the certificates representing such shares of Class A Ordinary Shares for exchange in accordance with the procedures of the transfer agent for the Class A Ordinary Shares, be exchanged for a new certificate or certificates for a like aggregate number of Class A Ordinary Shares, which shall not bear the restrictive legend required by this Section 2.05(d).</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5" w:name="page36"/>
    <w:bookmarkEnd w:id="35"/>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Any Note or restricted Class A Ordinary Shares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Class A Ordinary Shares, as the case may be, no longer being a “restricted security” (as defined under Rule 144).</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the Specified Repurchase or is about to be converted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Temporary Notes</w:t>
      </w:r>
      <w:r>
        <w:rPr>
          <w:rFonts w:ascii="Times New Roman" w:cs="Times New Roman" w:eastAsia="Times New Roman" w:hAnsi="Times New Roman"/>
          <w:sz w:val="18"/>
          <w:szCs w:val="18"/>
          <w:color w:val="auto"/>
        </w:rPr>
        <w:t>.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Cancellation of Notes Paid, Converted, Etc</w:t>
      </w:r>
      <w:r>
        <w:rPr>
          <w:rFonts w:ascii="Times New Roman" w:cs="Times New Roman" w:eastAsia="Times New Roman" w:hAnsi="Times New Roman"/>
          <w:sz w:val="18"/>
          <w:szCs w:val="18"/>
          <w:color w:val="auto"/>
        </w:rPr>
        <w:t>. The Company shall cause all Notes surrendered for the purpose of payment at maturity, repurchase upon a Fundamental Change or the Specified Repurchase, redemption, registration of transfer or exchange or conversion (other than any Notes exchanged pursuant to Section 14.13), if surrendered to the Company or any of the Company’s agents or Subsidiaries, to be surrendered to the Trustee for cancellation, and they will no longer be considered “outstanding” under this Indenture upon their payment at maturity, repurchase upon a Fundamental Change or the Specified Repurchase, redemption, registration of transfer or exchange or conversion, as the case may be. All Notes delivered to the Trustee shall, upon receipt of a written request in a Company Order,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cancel Notes in accordance with its customary procedures and, after such cancellation, shall deliver evidence of such cancellation to the Company, at the Company’s written request in a Company Order.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9" w:lineRule="exact"/>
        <w:rPr>
          <w:sz w:val="20"/>
          <w:szCs w:val="20"/>
          <w:color w:val="auto"/>
        </w:rPr>
      </w:pPr>
    </w:p>
    <w:p>
      <w:pPr>
        <w:jc w:val="both"/>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2.01, reopen this Indenture and issue additional Notes under this Indenture with the same terms as the Notes initially issued hereunder (except for any differences in the issue price, the issue date and interest accrued, if any, and, if applicable, restrictions on transfer in respect of such additional Notes) in an unlimited aggregate principal amount;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held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1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xml:space="preserve"> (a) This Indenture and the Notes shall cease to be of further effect when (i) all Notes theretofore authenticated and delivered (other than (x) Notes which have been destroyed, lost or stolen and which have been replaced, paid or converted as provided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 Section 2.06 hereof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the Specified Repurchase Date, any Fundamental Change Repurchase Date, upon conversion or otherwise, cash or, solely to satisfy the Company’s Conversion Obligation, cash, Class A Ordinary Shares or a combination thereof, as applicable, sufficient to pay all of the outstanding Notes and all other sums due and payable under this Indenture and the Notes by the Company and (b) the Trustee, upon request of the Company contained in an Officer’s Certificate and at the expense of the Company, shall execute such instruments reasonably requested by the Company acknowledging such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and the Notes, the obligations of the Company to the Trustee (in each of its capacities) under Section 7.06 shall survive.</w:t>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335" w:right="2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Principal and Interest.</w:t>
      </w:r>
      <w:r>
        <w:rPr>
          <w:rFonts w:ascii="Times New Roman" w:cs="Times New Roman" w:eastAsia="Times New Roman" w:hAnsi="Times New Roman"/>
          <w:sz w:val="18"/>
          <w:szCs w:val="18"/>
          <w:color w:val="auto"/>
        </w:rPr>
        <w:t xml:space="preserve"> The Company covenants and agrees that it will pay or cause to be paid the principal (including the Redemption Price, the Fundamental Change Repurchase Price and the Specified Repurchase Date Repurchase Price, if applicable) of, and accrued and unpaid interest on, each of the Notes at the places, at the respective times and in the manner </w:t>
      </w:r>
      <w:r>
        <w:rPr>
          <w:rFonts w:ascii="Times New Roman" w:cs="Times New Roman" w:eastAsia="Times New Roman" w:hAnsi="Times New Roman"/>
          <w:sz w:val="18"/>
          <w:szCs w:val="18"/>
          <w:i w:val="1"/>
          <w:iCs w:val="1"/>
          <w:color w:val="auto"/>
        </w:rPr>
        <w:t>provided herein</w:t>
      </w:r>
      <w:r>
        <w:rPr>
          <w:rFonts w:ascii="Times New Roman" w:cs="Times New Roman" w:eastAsia="Times New Roman" w:hAnsi="Times New Roman"/>
          <w:sz w:val="18"/>
          <w:szCs w:val="18"/>
          <w:color w:val="auto"/>
        </w:rPr>
        <w:t xml:space="preserve"> and in the Notes.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The Company will maintain within the contiguous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within the contiguous United States of America.</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within the contiguous United States of America, for such purposes. The Company will give prompt written notice to the Trustee of any such designation or rescission and of any change in the location of any such other office or agency. The terms “Paying Agent” and “Conversion Agent” include any such additional or other offices or agencies, as applicable.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within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Provisions as to Paying Agent</w:t>
      </w:r>
      <w:r>
        <w:rPr>
          <w:rFonts w:ascii="Times New Roman" w:cs="Times New Roman" w:eastAsia="Times New Roman" w:hAnsi="Times New Roman"/>
          <w:sz w:val="18"/>
          <w:szCs w:val="18"/>
          <w:color w:val="auto"/>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75" w:lineRule="exact"/>
        <w:rPr>
          <w:sz w:val="20"/>
          <w:szCs w:val="20"/>
          <w:color w:val="auto"/>
        </w:rPr>
      </w:pPr>
    </w:p>
    <w:p>
      <w:pPr>
        <w:jc w:val="both"/>
        <w:ind w:left="1300" w:firstLine="652"/>
        <w:spacing w:after="0" w:line="266" w:lineRule="auto"/>
        <w:tabs>
          <w:tab w:leader="none" w:pos="2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the Fundamental Change Repurchase Price and the Specified Repurchase Date Repurchase Price, if applicable) of, and accrued and unpaid interest on, the Notes in trust for the benefit of the Holders;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Redemption Price, the Fundamental Change Repurchase Price and the Specified Repurchase Date Repurchase Price, if applicable) of, and accrued and unpaid interest on, the Notes when the same shall be due and payable; and</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shall, on or before each due date of the principal (including the Redemption Price, the Fundamental Change Repurchase Price and the Specified Repurchase Date Repurchase Price, if applicable) of, or accrued and unpaid interest on, the Notes, deposit with the Paying Agent a sum sufficient to pay such principal (including the Redemption Price, the Fundamental Change Repurchase Price and the Specified Repurchase Date Repurchase Price, if applicable) or accrued and unpaid interest, and (unless such Paying Agent is the Trustee) the Company will promptly notify the Trustee in writing of any failure to take such action; provided that if such deposit is made on the due date, such deposit must be received by the Paying Agent by 11:00 a.m., New York City time, on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left="660" w:firstLine="644"/>
        <w:spacing w:after="0" w:line="255" w:lineRule="auto"/>
        <w:tabs>
          <w:tab w:leader="none" w:pos="15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the Fundamental Change Repurchase Price and the Specified Repurchase Date Repurchase Price, if applicable) of, and accrued and unpaid interest on, the Notes, set aside, segregate and hold in trust for the benefit of the Holders of the Notes a sum sufficient to pay such principal (including the Redemption Price, the Fundamental Change Repurchase Price and the Specified Repurchase Date Repurchase Price, if applicable) and accrued and unpaid interest so becoming due and will promptly notify the Trustee in writing of any failure to take such action and of any failure by the Company to make any payment of the principal (including the Redemption Price, the Fundamental Change Repurchase Price and the Specified Repurchase Date Repurchase Price, if applicable) of, or accrued and unpaid interest on, the Notes when the same shall become due and payable.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Class A Ordinary Shares deposited with the Trustee or any Paying Agent, or then held by the Company, in trust for the payment of the principal (including the Redemption Price, the Fundamental Change Repurchase Price and the Specified Repurchase Date Repurchase Price, if applicable) of, accrued and unpaid interest on and the consideration due upon conversion of any Note and remaining unclaimed for two years after such principal (including the Redemption Price, the Fundamental Change Repurchase Price and the Specified Repurchase Date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Class A Ordinary Shares, and all liability of the Company as trustee thereof, shall thereupon cease.</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of Default pursuant to Section 6.01(h) or Section 6.01(i), the Trustee shall automatically become the Paying Agent if the Trustee is not the Paying Agent at such time.</w:t>
      </w:r>
    </w:p>
    <w:p>
      <w:pPr>
        <w:spacing w:after="0" w:line="16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Subject to Article 11, the Company shall do or cause to be done all things necessary to preserve and keep in full force and effect its corporate existence.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Rule 144A Information Requirement and Annual 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4"/>
        <w:spacing w:after="0" w:line="256"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Company is not subject to Section 13 or 15(d) of the Exchange Act, the Company shall, so long as any of the Notes or any Class A Ordinary Shares issuable upon conversion thereof shall, at such time, constitute “restricted securities” within the meaning of Rule 144(a)(3) under the Securities Act, promptly provide to the Trustee and, upon written request, provide to any Holder, beneficial owner or prospective purchaser of such Notes or any Class A Ordinary Shares issuable upon conversion of such Notes the information required to be delivered pursuant to Rule 144A(d)(4) under the Securities Act to facilitate the resale of such Notes or Class A Ordinary Shares pursuant to Rule 144A.</w:t>
      </w:r>
    </w:p>
    <w:p>
      <w:pPr>
        <w:spacing w:after="0" w:line="187" w:lineRule="exact"/>
        <w:rPr>
          <w:rFonts w:ascii="Times New Roman" w:cs="Times New Roman" w:eastAsia="Times New Roman" w:hAnsi="Times New Roman"/>
          <w:sz w:val="18"/>
          <w:szCs w:val="18"/>
          <w:color w:val="auto"/>
        </w:rPr>
      </w:pPr>
    </w:p>
    <w:p>
      <w:pPr>
        <w:jc w:val="both"/>
        <w:ind w:firstLine="644"/>
        <w:spacing w:after="0" w:line="254" w:lineRule="auto"/>
        <w:tabs>
          <w:tab w:leader="none" w:pos="9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a copy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within fifteen (15) days after the same are required to be filed with the Commission (giving effect to any grace period provided by Rule 12b-25 under the Exchange Act or any successor rule), which grace period, for the avoidance of doubt, shall be deemed applicable whether or not the Company checks the box in the relevant Rule 12b-25 filing indicating that it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 at the time such document or report is filed via the EDGAR system (or such successor system).</w:t>
      </w:r>
    </w:p>
    <w:p>
      <w:pPr>
        <w:spacing w:after="0" w:line="191" w:lineRule="exact"/>
        <w:rPr>
          <w:rFonts w:ascii="Times New Roman" w:cs="Times New Roman" w:eastAsia="Times New Roman" w:hAnsi="Times New Roman"/>
          <w:sz w:val="18"/>
          <w:szCs w:val="18"/>
          <w:color w:val="auto"/>
        </w:rPr>
      </w:pPr>
    </w:p>
    <w:p>
      <w:pPr>
        <w:jc w:val="both"/>
        <w:ind w:firstLine="644"/>
        <w:spacing w:after="0" w:line="255" w:lineRule="auto"/>
        <w:tabs>
          <w:tab w:leader="none" w:pos="9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and documents described in subsection (b) above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have no liability or responsibility for the filing, timeliness or content of any such reports. If the Notes become convertible into Reference Property consisting in whole or in part of Capital Shares of any parent company of the Company pursuant to the terms of this Indenture and such parent company provides a full and unconditional guarantee of the Notes, the Commission reports of such parent company shall be deemed to satisfy the foregoing reporting requirements of this Section 4.06.</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9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date that is six months after the last date of original issuance of the Notes, the Company has failed to file any report or other materials that it is required to file with the Commission pursuant to Section 13 or 15(d) of the Exchange Act, as applicable, during the preceding 12 months (other than current reports on Form 8-K and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it expects to file such report within the applicable Rule 12b-25 grace period), or the Notes are not otherwise freely tradable, the Company shall pay Additional Interest on the Notes. Such Additional Interest shall accrue on the Notes at the rate of 0.25% per annum for the first 90 days and thereafter at a rate of 0.50% per annum of the principal amount of the Notes outstanding for each day during such period for which the Company’s failure to file has occurred and is continuing or the Notes are not otherwise freely tradable. As used in this Section 4.06(d) reports or other materials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5" w:right="339" w:bottom="1440" w:gutter="0" w:footer="0" w:header="0"/>
        </w:sectPr>
      </w:pPr>
    </w:p>
    <w:bookmarkStart w:id="41" w:name="page42"/>
    <w:bookmarkEnd w:id="41"/>
    <w:p>
      <w:pPr>
        <w:ind w:left="420" w:hanging="236"/>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4.06 (j), Additional Interest will be payable in arrears on each Interest Payment Date following accrual in the same manner as regular interest on the Notes.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immediately succeeding sentence, the Additional Interest that is payable in accordance with Section 4.06(d) shall be in addition to any Additional Interest that may accrue at the Company’s election as the sole remedy relating to the failure to comply with the Company’s reporting obligations pursuant to Section 6.03. However, in no event shall Additional Interest payable for the Company’s failure to comply with its obligations to file any report or other materials that the Company is required to file with the Commission pursuant to Section 13 or 15(d) of the Exchange Act, as applicable (after giving effect to all applicable grace periods thereunder and other than current reports on Form 8-K), as set forth in Section 4.06(d), together with any Additional Interest in respect of an Event of Default that may accrue at the Company’s election as a result of the Company’s failure to comply with its reporting obligations pursuant to Section 6.03, accrue at a rate in excess of 1.00% per annum pursuant to this Indenture, regardless of the number of events or circumstances giving rise to the requirement to pay such Additional Interest.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is payable by the Company pursuant to Section 4.06(d),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2.05(c) or Section 2.05(d), if a Holder of any Note or Class A Ordinary Share issued upon conversion of any Note, or an owner of a beneficial interest in any Global Note, or in a global certificate representing any Class A Ordinary Share issued upon conversion of any Note, transfers such Note or Class A Ordinary Share in compliance with Rule 144 and delivers to the Company a written request, certifying that it is not, and has not been at any time during the preceding three months, an Affiliate of the Company, to reissue such Note or Class A Ordinary Share without a restrictive legend, then the Company shall cause the same to occur (and, if applicable, cause such Note or Class A Ordinary Share to thereafter be represented by an “unrestricted” CUSIP number in the facilities of the related Depositary), and the Company shall use its commercially reasonable efforts to cause such occurrence within two Trading Days of such request.</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2" w:name="page43"/>
    <w:bookmarkEnd w:id="42"/>
    <w:p>
      <w:pPr>
        <w:jc w:val="both"/>
        <w:ind w:left="660" w:firstLine="644"/>
        <w:spacing w:after="0" w:line="266" w:lineRule="auto"/>
        <w:tabs>
          <w:tab w:leader="none" w:pos="15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begins to accrue on any Global Note on or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Compliance Certificate; Statements as to Defaults.</w:t>
      </w:r>
      <w:r>
        <w:rPr>
          <w:rFonts w:ascii="Times New Roman" w:cs="Times New Roman" w:eastAsia="Times New Roman" w:hAnsi="Times New Roman"/>
          <w:sz w:val="18"/>
          <w:szCs w:val="18"/>
          <w:color w:val="auto"/>
        </w:rPr>
        <w:t xml:space="preserve"> The Company shall deliver to the Trustee within 120 days after the end of each fiscal year of the Company (beginning with the fiscal year ended on December 31, 2025) an Officer’s Certificate stating whether the signers thereof have knowledge of any Event of Default that occurred during the previous year that is then continuing and, if so, specifying each such failure and the nature thereof. In addition, the Company shall deliver to the Trustee within 30 days after obtaining knowledge of the occurrence of any Default or Event of Default if such Default or Event of Default is then continuing, an Officer’s Certificate setting forth the details of such Default or Event of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is not required to deliver such notice if such Default or Event of Default has been cured.</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Further Instruments and Acts.</w:t>
      </w:r>
      <w:r>
        <w:rPr>
          <w:rFonts w:ascii="Times New Roman" w:cs="Times New Roman" w:eastAsia="Times New Roman" w:hAnsi="Times New Roman"/>
          <w:sz w:val="18"/>
          <w:szCs w:val="18"/>
          <w:color w:val="auto"/>
        </w:rPr>
        <w:t xml:space="preserve"> Upon request of the Trustee, the Company shall execute and deliver such further instruments and do such further acts as may be reasonably necessary or proper to carry out more effectively the purposes of this Indenture.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.(a)All payments and deliveries made by, or on behalf of, the Company or any successor to the Company under or with respect to the Notes, including payments of principal (including, if applicable, the Redemption Price, the Fundamental Change Repurchase Price and the Specified Repurchase Date Repurchase Price), payments of interest and payments of cash and/or deliveries of Class A Ordinary Shares (together with payments of cash for any fractional Class A Ordinary Shares) upon conversion of the Notes, will be made without withholding or deduction for, or on account of, any present or future taxes, duties, assessments or governmental charges of whatever nature imposed or levied by or within any jurisdiction in which the Company or any successor to the Company is, for tax purposes, organized or resident or doing business (each, as applicable, a “</w:t>
      </w:r>
      <w:r>
        <w:rPr>
          <w:rFonts w:ascii="Times New Roman" w:cs="Times New Roman" w:eastAsia="Times New Roman" w:hAnsi="Times New Roman"/>
          <w:sz w:val="18"/>
          <w:szCs w:val="18"/>
          <w:b w:val="1"/>
          <w:bCs w:val="1"/>
          <w:color w:val="auto"/>
        </w:rPr>
        <w:t>Relevant Taxing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Jurisdiction</w:t>
      </w:r>
      <w:r>
        <w:rPr>
          <w:rFonts w:ascii="Times New Roman" w:cs="Times New Roman" w:eastAsia="Times New Roman" w:hAnsi="Times New Roman"/>
          <w:sz w:val="18"/>
          <w:szCs w:val="18"/>
          <w:color w:val="auto"/>
        </w:rPr>
        <w:t>”) or from or through which payment is made or deemed made (together with each Relevant Taxing Jurisdiction, a “</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each case, any political subdivision or taxing authority thereof or therein), unless such withholding or deduction is required by law or by regulation or governmental policy having the force of law. In the event that any such withholding or deduction is so required, the Company shall pay to each Holder such additional amounts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xml:space="preserve">”) as may be necessary to ensure that the net amount received by the Holders after such withholding or deduction (and after deducting any taxes on the Additional Amounts) will equal the amounts that would have been received by such Holders had no such withholding or deduction been required;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Additional Amounts will be payable:</w:t>
      </w:r>
    </w:p>
    <w:p>
      <w:pPr>
        <w:spacing w:after="0" w:line="192" w:lineRule="exact"/>
        <w:rPr>
          <w:sz w:val="20"/>
          <w:szCs w:val="20"/>
          <w:color w:val="auto"/>
        </w:rPr>
      </w:pPr>
    </w:p>
    <w:p>
      <w:pPr>
        <w:ind w:left="2160" w:hanging="208"/>
        <w:spacing w:after="0"/>
        <w:tabs>
          <w:tab w:leader="none" w:pos="2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duty, assessment or other governmental charge that would not have been imposed but for:</w:t>
      </w:r>
    </w:p>
    <w:p>
      <w:pPr>
        <w:spacing w:after="0" w:line="225" w:lineRule="exact"/>
        <w:rPr>
          <w:rFonts w:ascii="Times New Roman" w:cs="Times New Roman" w:eastAsia="Times New Roman" w:hAnsi="Times New Roman"/>
          <w:sz w:val="18"/>
          <w:szCs w:val="18"/>
          <w:color w:val="auto"/>
        </w:rPr>
      </w:pPr>
    </w:p>
    <w:p>
      <w:pPr>
        <w:jc w:val="both"/>
        <w:ind w:left="3900" w:hanging="652"/>
        <w:spacing w:after="0" w:line="256" w:lineRule="auto"/>
        <w:tabs>
          <w:tab w:leader="none" w:pos="39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present or former connection between the Holder or beneficial owner of such Note and the Relevant Jurisdiction, other than merely holding such Note or the receipt of payments thereunder,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spacing w:after="0" w:line="187" w:lineRule="exact"/>
        <w:rPr>
          <w:rFonts w:ascii="Times New Roman" w:cs="Times New Roman" w:eastAsia="Times New Roman" w:hAnsi="Times New Roman"/>
          <w:sz w:val="18"/>
          <w:szCs w:val="18"/>
          <w:color w:val="auto"/>
        </w:rPr>
      </w:pPr>
    </w:p>
    <w:p>
      <w:pPr>
        <w:jc w:val="both"/>
        <w:ind w:left="3900" w:hanging="652"/>
        <w:spacing w:after="0" w:line="255" w:lineRule="auto"/>
        <w:tabs>
          <w:tab w:leader="none" w:pos="39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such Note (in cases in which presentation is required) more than 30 days after the later of the date on which the payment of the principal of (including the Redemption Price, the Specified Repurchase Date Repurchase Price and the Fundamental Change Repurchase Price, if applicable) and interest on such Note or the payment of cash and/or the delivery of Class A Ordinary Shares (together with payment of cash for any fractional Class A Ordinary Shares) upon conversion of such Note became due and payable or deliverable pursuant to the terms thereof or was made or duly provided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4" w:name="page45"/>
    <w:bookmarkEnd w:id="44"/>
    <w:p>
      <w:pPr>
        <w:jc w:val="both"/>
        <w:ind w:left="2780" w:hanging="652"/>
        <w:spacing w:after="0" w:line="254" w:lineRule="auto"/>
        <w:tabs>
          <w:tab w:leader="none" w:pos="27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Holder or beneficial owner to comply with a timely request from the Company or any successor of the Company, addressed to the Holder, to provide certification, information, documents or other evidence concerning such Holder’s or beneficial owner’s nationality, residence, identity or connection with the Relevant Jurisdiction, or to make any declaration or satisfy any other reporting requirement relating to such matters, if and to the extent that due and timely compliance with such request is required by statute, regulation or administrative practice of the Relevant Jurisdiction in order to reduce or eliminate any withholding or deduction as to which Additional Amounts would have otherwise been payable; or</w:t>
      </w:r>
    </w:p>
    <w:p>
      <w:pPr>
        <w:spacing w:after="0" w:line="191" w:lineRule="exact"/>
        <w:rPr>
          <w:rFonts w:ascii="Times New Roman" w:cs="Times New Roman" w:eastAsia="Times New Roman" w:hAnsi="Times New Roman"/>
          <w:sz w:val="18"/>
          <w:szCs w:val="18"/>
          <w:color w:val="auto"/>
        </w:rPr>
      </w:pPr>
    </w:p>
    <w:p>
      <w:pPr>
        <w:ind w:left="2780" w:hanging="652"/>
        <w:spacing w:after="0" w:line="282" w:lineRule="auto"/>
        <w:tabs>
          <w:tab w:leader="none" w:pos="27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such Note (in cases in which presentation is required) for payment in the Relevant Jurisdiction, unless such Note could not have been presented for payment elsewhere;</w:t>
      </w:r>
    </w:p>
    <w:p>
      <w:pPr>
        <w:spacing w:after="0" w:line="161"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20" w:hanging="640"/>
        <w:spacing w:after="0" w:line="282" w:lineRule="auto"/>
        <w:tabs>
          <w:tab w:leader="none" w:pos="2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 transfer, excise, personal property or similar tax, assessment or other governmental charge;</w:t>
      </w:r>
    </w:p>
    <w:p>
      <w:pPr>
        <w:spacing w:after="0" w:line="161" w:lineRule="exact"/>
        <w:rPr>
          <w:rFonts w:ascii="Times New Roman" w:cs="Times New Roman" w:eastAsia="Times New Roman" w:hAnsi="Times New Roman"/>
          <w:sz w:val="18"/>
          <w:szCs w:val="18"/>
          <w:color w:val="auto"/>
        </w:rPr>
      </w:pPr>
    </w:p>
    <w:p>
      <w:pPr>
        <w:ind w:left="2120" w:right="20" w:hanging="640"/>
        <w:spacing w:after="0" w:line="282" w:lineRule="auto"/>
        <w:tabs>
          <w:tab w:leader="none" w:pos="2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duty, assessment or other governmental charge that is payable otherwise than by withholding or deduction from payments or deliveries under or with respect to the Notes;</w:t>
      </w:r>
    </w:p>
    <w:p>
      <w:pPr>
        <w:spacing w:after="0" w:line="161" w:lineRule="exact"/>
        <w:rPr>
          <w:rFonts w:ascii="Times New Roman" w:cs="Times New Roman" w:eastAsia="Times New Roman" w:hAnsi="Times New Roman"/>
          <w:sz w:val="18"/>
          <w:szCs w:val="18"/>
          <w:color w:val="auto"/>
        </w:rPr>
      </w:pPr>
    </w:p>
    <w:p>
      <w:pPr>
        <w:jc w:val="both"/>
        <w:ind w:left="2120" w:hanging="640"/>
        <w:spacing w:after="0" w:line="256" w:lineRule="auto"/>
        <w:tabs>
          <w:tab w:leader="none" w:pos="2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withholding or deduction required by sections 1471 through 1474 of the Code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any current or future Treasury regulations or rulings promulgated thereunder, any law, regulation or other official guidance enacted in any jurisdiction implementing FATCA, any intergovernmental agreement between the United States and any other jurisdiction to implement FATCA or any law enacted by such other jurisdiction to give effect to such agreement, or any agreement with the U.S. Internal Revenue Service under FATCA; or</w:t>
      </w:r>
    </w:p>
    <w:p>
      <w:pPr>
        <w:spacing w:after="0" w:line="187" w:lineRule="exact"/>
        <w:rPr>
          <w:rFonts w:ascii="Times New Roman" w:cs="Times New Roman" w:eastAsia="Times New Roman" w:hAnsi="Times New Roman"/>
          <w:sz w:val="18"/>
          <w:szCs w:val="18"/>
          <w:color w:val="auto"/>
        </w:rPr>
      </w:pPr>
    </w:p>
    <w:p>
      <w:pPr>
        <w:ind w:left="2120" w:hanging="640"/>
        <w:spacing w:after="0" w:line="282" w:lineRule="auto"/>
        <w:tabs>
          <w:tab w:leader="none" w:pos="2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taxes, duties, assessments or other governmental charges referred to in the preceding clauses (1), (2), (3), (4) or (5); or</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of the principal of (including the Redemption Price, the Specified Repurchase Date Repurchase Price and the Fundamental Change Repurchase Price, if applicable) and interest on such Note or the payment of cash and/or the delivery of Class A Ordinary Shares (together with payment of cash for any fractional Class A Ordinary Shares) upon conversion of such Note to a Holder, if the Holder is a fiduciary, partnership or person other than the sole beneficial owner of that payment to the extent that such payment would be required to be included in the income under the laws of the Relevant Jurisdiction, for tax purposes, of a beneficiary or settlor with respect to the fiduciary, a partner or member of that partnership or a beneficial owner, in each case, that would not have been entitled to such Additional Amounts had that beneficiary, settlor, partner, member or beneficial owner been the Holder thereof.</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As a result of these provisions, there are circumstances in which taxes could be withheld or deducted, but Additional Amounts would not be payable with respect to Notes held for some or all beneficial owners of Notes.</w:t>
      </w:r>
    </w:p>
    <w:p>
      <w:pPr>
        <w:spacing w:after="0" w:line="162" w:lineRule="exact"/>
        <w:rPr>
          <w:sz w:val="20"/>
          <w:szCs w:val="20"/>
          <w:color w:val="auto"/>
        </w:rPr>
      </w:pPr>
    </w:p>
    <w:p>
      <w:pPr>
        <w:jc w:val="both"/>
        <w:ind w:left="660" w:firstLine="644"/>
        <w:spacing w:after="0" w:line="266" w:lineRule="auto"/>
        <w:tabs>
          <w:tab w:leader="none" w:pos="1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Paying Agent shall also be entitled to make any withholding or deduction pursuant to an agreement described in Section 1471(b) of the Code or otherwise imposed pursuant to FATCA and any regulations or agreements thereunder or official interpretations thereof.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Indenture or the Notes in any context to the payment of cash and/or the delivery of Class A Ordinary Shares (together with payments of cash for any fractional Class A Ordinary Shares), upon conversion of any Note or the payment of principal of (including the Redemption Price, the Specified Repurchase Date Repurchase Price and the Fundamental Change Repurchase Price, if applicable) and interest on any Note or any other amount payable with respect to such Note, such reference shall be deemed to include payment of Additional Amounts to the extent that, in such context, Additional Amounts are, were or would be payable in respect to that amount pursuant to this Section 4.10.</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its successor is required to make any deduction or withholding from any payments or deliveries with respect to the Notes, it will deliver to the Trustee official tax receipts evidencing the remittance to the relevant tax authorities of the amounts so withheld or deducted or, if such receipts are not obtainable, other evidence of payments reasonably satisfactory to the Trustee. Upon request, copies of those receipts or other evidence of payments, as the case may be, will be made available by the Paying Agent to the Holders or beneficial owners of the Notes.</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to determine whether any Additional Amounts are payable under this Indenture or the amount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Lists of Holders</w:t>
      </w:r>
      <w:r>
        <w:rPr>
          <w:rFonts w:ascii="Times New Roman" w:cs="Times New Roman" w:eastAsia="Times New Roman" w:hAnsi="Times New Roman"/>
          <w:sz w:val="18"/>
          <w:szCs w:val="18"/>
          <w:color w:val="auto"/>
        </w:rPr>
        <w:t>. The Company covenants and agrees that it will furnish or cause to be furnished to the Trustee, semi-annually, not more than 15 days after each Regular Record Date in each year beginning with December 15, 2025,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Preservation and Disclosure of Lists</w:t>
      </w:r>
      <w:r>
        <w:rPr>
          <w:rFonts w:ascii="Times New Roman" w:cs="Times New Roman" w:eastAsia="Times New Roman" w:hAnsi="Times New Roman"/>
          <w:sz w:val="18"/>
          <w:szCs w:val="18"/>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660" w:firstLine="644"/>
        <w:spacing w:after="0" w:line="282" w:lineRule="auto"/>
        <w:tabs>
          <w:tab w:leader="none" w:pos="15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or Additional Amounts, if any, on any Note when due and payable, and the default continues for a period of thirty (30) days;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a period of five (5) Business Days;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 notice of a Make-Whole Fundamental Change in accordance with Section 14.03(a) or a notice of a specified corporate transaction in accordance with Section 14.01(b)(ii) or Section 14.01(b)(iii), in each case, when due, and such failure continues for five (5) Business Days;</w:t>
      </w:r>
    </w:p>
    <w:p>
      <w:pPr>
        <w:spacing w:after="0" w:line="17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by the Trustee at the request of the Holders of at least 25% in principal amount of the Notes then outstanding has been received by the Company to comply with any of its other agreements contained in the Notes or this Indenture;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with respect to any mortgage, agreement or other instrument under which there may be outstanding, or by which there may be secured or evidenced, any indebtedness for money borrowed (which, for the avoidance of doubt, shall not include any obligations due under any foreign exchange, currency option, currency swap or other similar transaction) with a principal amount in excess of $35,000,000 (or the foreign currency equivalent thereof) in the aggregate by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each case, such failure to pay or default shall not have been cured or waived, such indebtedness is not paid or discharged, or such acceleration is not otherwise cured, annulled or rescinded, within thirty (30) days after written notice to the Company by the Trustee or to the Company and the Trustee by Holders of at least 25% in aggregate principal amount of Notes then outstanding in accordance with this Indenture;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7" w:name="page48"/>
    <w:bookmarkEnd w:id="47"/>
    <w:p>
      <w:pPr>
        <w:jc w:val="both"/>
        <w:ind w:left="660" w:firstLine="644"/>
        <w:spacing w:after="0" w:line="256" w:lineRule="auto"/>
        <w:tabs>
          <w:tab w:leader="none" w:pos="15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90 consecutive days.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deemed to have knowledge of an Event of Default unless and until a Responsible Officer receives written notification of such Event of Default describing the circumstances of such, and identifying the circumstances constituting such Event of Default and stating that such notification is a notice of default.</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written request of such Holders accompanied by security and/or indemnity satisfactory to the Trustee an otherwise subject to the limitations set forth in this Indenture, shall) declare 100% of the principal of, and accrued and unpaid interest on, all the outstanding Notes to be due and payable immediately, and upon any such declaration the same shall become and shall automatically be immediately due and payable without any action on part of the Trustee. If an Event of Default specified in Section 6.01(h) or Section 6.01(i) with respect to the Company occurs and is continuing, 100% of the principal of, and accrued and unpaid interest, if any, on, all Notes shall become and shall automatically be immediately due and payable. If an Event of Default occurs and is continuing, the Trustee may pursue, in its own name or as trustee of an express trust, any available remedy by proceeding at law or in equity to collect the payment of principal of and interest on the Notes or to enforce the performance of any provision of the notes or this Indenture. The Trustee may maintain a proceeding even if it does not possess any of the Notes or does not produce any of them in the proceeding. If any portion of the amount payable on the Notes upon acceleration is considered by a court to be unearned interest (through the allocation of the value of the instrument to the embedded warrant or otherwise), the court could disallow recovery of any such portion without any action on part of the Trustee.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an Event of Default under this Indenture even if such Event of Default is subsequently cured.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xml:space="preserve"> Notwithstanding anything in this Indenture or in the Notes to the contrary, to the extent the Company elects, the sole remedy for an Event of Default under this Indenture relating to the failure by the Company to comply with its reporting obligations under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4.06(b) (such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xml:space="preserve">” and the obligations described in clauses (i)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(ii), the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shall after the occurrence of such an Event of Default (which will be the 60th day after written notice is provided to the Company in accordance with an Event of Default pursuant to Section 6.01(f)) consist exclusively of the right to receive Additional Interest on the Notes at a rate equal to (x) 0.25% per annum of the principal amount of the Notes outstanding for each day during the period beginning on, and including, the date on which such an Event of Default first occurs and ending on the earlier of (i) the date on which such Event of Default is cured or validly waived or (ii)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following, and</w:t>
      </w:r>
    </w:p>
    <w:p>
      <w:pPr>
        <w:spacing w:after="0" w:line="4"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including, the date on which such Event of Default first occurred and (y) if such Event of Default has not been cured or validly waived prior to the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immediately following, and including, the date on which such Event of Default first occurred, 0.50% per annum of the principal amount of the Notes outstanding for each day during the period beginning on, and including, the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immediately following, and including the date on which such Event</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of Default first occurred and ending on the earlier of (i) the date on which such Event of Default is cured or validly waived or (ii) the 365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following, and including, the date on which such Event of Default first occurred.</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so elects, such Additional Interest shall be payable in the same manner and on the same dates as the stated interest payable on the Notes. On the 366th day after such Event of Default (if the Event of Default relating to the Company’s failure to comply with the Reporting Obligations is not cured or waived prior to such 366th day), the Notes shall be subject to acceleration under ‎Section 6.02. The provisions of this ‎Section 6.03 shall not affect the rights of Holders of Notes in the event of the occurrence of any other Event of Default. In the event the Company does not elect to pay the</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Interest following an Event of Default relating to the Reporting Obligations in accordance with this Section‎ 6.03 or the Company elected to make such payment but does not pay the Additional Interest when due, the Notes shall be immediately subject to acceleration under ‎Section 6.02 as a result of the Event of Default pursuant to Section 6.01(f) is then continuing.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elect to pay the Additional Interest as the sole remedy during the first 365 days after the occurrence of an Event of Default relating to</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failure by the Company to comply with the Reporting Obligations in accordance with this Section‎ 6.03, the Company must notify in writing all Holders of the Notes, the Trustee and the Paying Agent (if other than the Trustee) of such election prior to the beginning of such 365-day period. Upon the Company’s failure to timely give such notice, the Notes shall be immediately subject to acceleration under ‎Section 6.02. The Trustee shall not at any time be under any duty or responsibility to any Holder of Notes to determine the Additional Interest, or with respect to the nature, extent, or calculation of the amount of Additional Interest owed, or with respect to the method employed in such calculation of the Additional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Additional Interest payable at the Company’s election for failure to comply with its Reporting Obligations pursuant to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as set forth in Section 4.06(d), accrue at a rate in excess of 1.00% per annum pursuant to this Indenture, regardless of the number of events or circumstances giving rise to the requirement to pay such Additional Interest.</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Payments of Notes on Default; Suit Therefor.</w:t>
      </w:r>
      <w:r>
        <w:rPr>
          <w:rFonts w:ascii="Times New Roman" w:cs="Times New Roman" w:eastAsia="Times New Roman" w:hAnsi="Times New Roman"/>
          <w:sz w:val="18"/>
          <w:szCs w:val="18"/>
          <w:color w:val="auto"/>
        </w:rPr>
        <w:t xml:space="preserve"> If an Event of Default described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6.01(a) or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6.01(b) shall have occurred and be continuing, the Company shall, upon demand of the Trustee or the requisite Holders, pay to the Trustee, for the benefit of the Holders of the Notes, the whole amount then due and payable on the Notes for principal (including the Redemption Price, the Fundamental Change Repurchase Price and the Specified Repurchase Date Repurchase Price, if applicable),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7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any capacity hereunder);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borne by the Notes at such time, such payments to be made ratably to the Persons entitled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the Fundamental Change Repurchase Price and the Specified Repurchase Date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the Fundamental Change Repurchase Price and the Specified Repurchase Date Repurchase Price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the Specified Repurchase Date Repurchase Price and any cash due upon conversion) and accrued and unpaid interest; and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the Fundamental Change Repurchase Price and the Specified Repurchase Date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5" w:lineRule="exact"/>
        <w:rPr>
          <w:sz w:val="20"/>
          <w:szCs w:val="20"/>
          <w:color w:val="auto"/>
        </w:rPr>
      </w:pPr>
    </w:p>
    <w:p>
      <w:pPr>
        <w:ind w:left="1540" w:hanging="23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ind w:left="660" w:firstLine="644"/>
        <w:spacing w:after="0" w:line="282" w:lineRule="auto"/>
        <w:tabs>
          <w:tab w:leader="none" w:pos="15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and if requested, provided, to the Trustee such security and/or indemnity satisfactory to it against any loss,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such security and/or indemnity, shall have neglected or refused to institute any such action, suit or proceeding;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of the aggregate principal amount of the Notes then outstanding within such 60-day period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For the protection and enforcement of this ‎Section 6.06, each and every Holder and the Trustee shall be entitled to such relief as can be given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law or in equity.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the Redemption Price, the Specified Repurchase Date Repurchase Price on the Specified Repurchase Date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and such right to receive such payment or delivery, as the case may be, on or after such respective dates shall not be impaired of affected without the consent of such Holder.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Remedies Cumulative and Continuing.</w:t>
      </w:r>
      <w:r>
        <w:rPr>
          <w:rFonts w:ascii="Times New Roman" w:cs="Times New Roman" w:eastAsia="Times New Roman" w:hAnsi="Times New Roman"/>
          <w:sz w:val="18"/>
          <w:szCs w:val="18"/>
          <w:color w:val="auto"/>
        </w:rPr>
        <w:t xml:space="preserve"> Except as provided in the last paragraph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2.06, all powers and remedies given by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6.07, every power and remedy given by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6 or by law to the Trustee or to the Holders may be exercised from time to time, and as often as shall be deemed expedient, by the Trustee or by the Holders.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may refuse to follow any direction that conflicts with law or this Indenture, that the Trustee determines is unduly prejudicial to the rights of any other Holder (it being understood that the Trustee shall not have an affirmative duty to ascertain whether or not any such direction is unduly prejudicial to any other Holder) or that may involve the Trustee in personal liability, or if it is not provided with security and/or indemnity to its satisfaction may take any other action it deems proper that is not inconsistent with any such direction received from Holders. In addition, the Trustee will not be required to expend its own funds under any circumstances.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 or Event of Default relating to (1) a default in the payment of accrued and unpaid interest, if any, on, or the principal (including any Redemption Price, any Fundamental Change Repurchase Price and any Specified Repurchase Date Repurchase Price) of, the Notes when due that has not been cured pursuant to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6.02, (2) a failure by the Company to pay or deliver, as the case may be, the consideration due upon conversion of the Notes or (3) a default in respect of a covenant or provision hereof which under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xml:space="preserve"> The Trustee shall, within 90 days after the occurrence and continuance of a Default of which a Responsible Officer receives written notice or obtains actual knowledge,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except in the case of a Default in the payment of the principal of (including the Redemption Price, the Fundamental Change Repurchase Price and the Specified Repurchase Date Repurchase Price, if applicable), or accrued and unpaid interest on, any of the Notes or a Default in the payment or delivery of the consideration due upon conversion, the Trustee shall be protected in withholding such notice if the Trustee in good faith determines that the withholding of such notice is in the interests of the Holders (it being understood that the Trustee shall not have an affirmative duty to make such determination). The Trustee shall not be deemed to have knowledge of an Event of Default unless and until a Responsible Officer receives written notification of such Event of Default describing the circumstances of such, and identifying the circumstances constituting such Event of Default and stating that such notification is a “notice of default.”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Fundamental Change Repurchase Price and the Specified Repurchase Date Repurchase Price, if applicable) on or after the due date expressed or provided for in such Note or this Indenture or to any suit for the enforcement of the right to convert any Note, or receive the consideration due upon conversion, in accordance with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 Event of Default occurs and is continuing, the Trustee will be under no obligation to exercise any of the rights or powers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6" w:name="page57"/>
    <w:bookmarkEnd w:id="56"/>
    <w:p>
      <w:pPr>
        <w:ind w:firstLine="648"/>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87"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644"/>
        <w:spacing w:after="0" w:line="266" w:lineRule="auto"/>
        <w:tabs>
          <w:tab w:leader="none" w:pos="8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jc w:val="both"/>
        <w:ind w:firstLine="644"/>
        <w:spacing w:after="0" w:line="256" w:lineRule="auto"/>
        <w:tabs>
          <w:tab w:leader="none" w:pos="9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fees, taxes or other charges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7" w:lineRule="exact"/>
        <w:rPr>
          <w:rFonts w:ascii="Times New Roman" w:cs="Times New Roman" w:eastAsia="Times New Roman" w:hAnsi="Times New Roman"/>
          <w:sz w:val="18"/>
          <w:szCs w:val="18"/>
          <w:color w:val="auto"/>
        </w:rPr>
      </w:pPr>
    </w:p>
    <w:p>
      <w:pPr>
        <w:jc w:val="both"/>
        <w:ind w:firstLine="644"/>
        <w:spacing w:after="0" w:line="266" w:lineRule="auto"/>
        <w:tabs>
          <w:tab w:leader="none" w:pos="8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8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be entitled to indemnification or security satisfactory to it against any loss, liability, or expense caused by taking or not taking such 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227" w:lineRule="exact"/>
        <w:rPr>
          <w:sz w:val="20"/>
          <w:szCs w:val="20"/>
          <w:color w:val="auto"/>
        </w:rPr>
      </w:pPr>
    </w:p>
    <w:p>
      <w:pPr>
        <w:jc w:val="both"/>
        <w:ind w:right="20" w:firstLine="644"/>
        <w:spacing w:after="0" w:line="266" w:lineRule="auto"/>
        <w:tabs>
          <w:tab w:leader="none" w:pos="9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58" w:name="page59"/>
    <w:bookmarkEnd w:id="58"/>
    <w:p>
      <w:pPr>
        <w:jc w:val="both"/>
        <w:ind w:left="660" w:firstLine="644"/>
        <w:spacing w:after="0" w:line="258" w:lineRule="auto"/>
        <w:tabs>
          <w:tab w:leader="none" w:pos="15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 The Trustee shall have no obligation to determine whether the Liquidity Conditions have been satisfied.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 of the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Monies and Ordinary Shares to Be Held in Trust.</w:t>
      </w:r>
      <w:r>
        <w:rPr>
          <w:rFonts w:ascii="Times New Roman" w:cs="Times New Roman" w:eastAsia="Times New Roman" w:hAnsi="Times New Roman"/>
          <w:sz w:val="18"/>
          <w:szCs w:val="18"/>
          <w:color w:val="auto"/>
        </w:rPr>
        <w:t xml:space="preserve"> All monies and Class A Ordinary Shares received by the Trustee shall, until used or applied as herein provided, be held in trust for the purposes for which they were received. Money and Class A Ordinary Shares held by the Trustee in trust hereunder need not be segregated from other funds except to the extent required by law. The Trustee shall be under no liability for interest on any money or Class A Ordinary Shares received by it hereunder except as may be agreed from time to time by the Company and the Trustee.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Compensation and Expenses of Trustee.</w:t>
      </w:r>
      <w:r>
        <w:rPr>
          <w:rFonts w:ascii="Times New Roman" w:cs="Times New Roman" w:eastAsia="Times New Roman" w:hAnsi="Times New Roman"/>
          <w:sz w:val="18"/>
          <w:szCs w:val="18"/>
          <w:color w:val="auto"/>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promptly in the manner and with the effect hereinafter specified in this Article 7.</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Resignation or Removal of Trustee.</w:t>
      </w:r>
    </w:p>
    <w:p>
      <w:pPr>
        <w:spacing w:after="0" w:line="227" w:lineRule="exact"/>
        <w:rPr>
          <w:sz w:val="20"/>
          <w:szCs w:val="20"/>
          <w:color w:val="auto"/>
        </w:rPr>
      </w:pPr>
    </w:p>
    <w:p>
      <w:pPr>
        <w:jc w:val="both"/>
        <w:ind w:left="660" w:firstLine="644"/>
        <w:spacing w:after="0" w:line="254" w:lineRule="auto"/>
        <w:tabs>
          <w:tab w:leader="none" w:pos="15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6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7" w:lineRule="exact"/>
        <w:rPr>
          <w:sz w:val="20"/>
          <w:szCs w:val="20"/>
          <w:color w:val="auto"/>
        </w:rPr>
      </w:pPr>
    </w:p>
    <w:p>
      <w:pPr>
        <w:jc w:val="both"/>
        <w:ind w:left="660" w:firstLine="644"/>
        <w:spacing w:after="0" w:line="258" w:lineRule="auto"/>
        <w:tabs>
          <w:tab w:leader="none" w:pos="15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Succession by Merger, Etc.</w:t>
      </w:r>
      <w:r>
        <w:rPr>
          <w:rFonts w:ascii="Times New Roman" w:cs="Times New Roman" w:eastAsia="Times New Roman" w:hAnsi="Times New Roman"/>
          <w:sz w:val="18"/>
          <w:szCs w:val="18"/>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organization or other entity succeeding to all or substantially all of the corporate trust business of the Trustee such organization or other entity shall be eligible under the provisions of Section 7.08.</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Action by Holders</w:t>
      </w:r>
      <w:r>
        <w:rPr>
          <w:rFonts w:ascii="Times New Roman" w:cs="Times New Roman" w:eastAsia="Times New Roman" w:hAnsi="Times New Roman"/>
          <w:sz w:val="18"/>
          <w:szCs w:val="18"/>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Proof of Execution by Holders</w:t>
      </w:r>
      <w:r>
        <w:rPr>
          <w:rFonts w:ascii="Times New Roman" w:cs="Times New Roman" w:eastAsia="Times New Roman" w:hAnsi="Times New Roman"/>
          <w:sz w:val="18"/>
          <w:szCs w:val="18"/>
          <w:color w:val="auto"/>
        </w:rPr>
        <w:t>.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4" w:name="page65"/>
    <w:bookmarkEnd w:id="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Who Are Deemed Absolute Owners</w:t>
      </w:r>
      <w:r>
        <w:rPr>
          <w:rFonts w:ascii="Times New Roman" w:cs="Times New Roman" w:eastAsia="Times New Roman" w:hAnsi="Times New Roman"/>
          <w:sz w:val="18"/>
          <w:szCs w:val="18"/>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any Fundamental Change Repurchase Price and the Specified Repurchase Date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Class A Ordinary Shares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Section 8.04 </w:t>
      </w:r>
      <w:r>
        <w:rPr>
          <w:rFonts w:ascii="Times New Roman" w:cs="Times New Roman" w:eastAsia="Times New Roman" w:hAnsi="Times New Roman"/>
          <w:sz w:val="17"/>
          <w:szCs w:val="17"/>
          <w:i w:val="1"/>
          <w:iCs w:val="1"/>
          <w:color w:val="auto"/>
        </w:rPr>
        <w:t>Company-Owned Notes Disregarded</w:t>
      </w:r>
      <w:r>
        <w:rPr>
          <w:rFonts w:ascii="Times New Roman" w:cs="Times New Roman" w:eastAsia="Times New Roman" w:hAnsi="Times New Roman"/>
          <w:sz w:val="17"/>
          <w:szCs w:val="17"/>
          <w:color w:val="auto"/>
        </w:rPr>
        <w:t>.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Revocation of Consents; Future Holders Bound</w:t>
      </w:r>
      <w:r>
        <w:rPr>
          <w:rFonts w:ascii="Times New Roman" w:cs="Times New Roman" w:eastAsia="Times New Roman" w:hAnsi="Times New Roman"/>
          <w:sz w:val="18"/>
          <w:szCs w:val="18"/>
          <w:color w:val="auto"/>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p>
      <w:pPr>
        <w:spacing w:after="0" w:line="194"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9 for any of the following purposes:</w:t>
      </w:r>
    </w:p>
    <w:p>
      <w:pPr>
        <w:spacing w:after="0" w:line="150" w:lineRule="exact"/>
        <w:rPr>
          <w:sz w:val="20"/>
          <w:szCs w:val="20"/>
          <w:color w:val="auto"/>
        </w:rPr>
      </w:pPr>
    </w:p>
    <w:p>
      <w:pPr>
        <w:jc w:val="both"/>
        <w:ind w:left="660" w:firstLine="644"/>
        <w:spacing w:after="0" w:line="261" w:lineRule="auto"/>
        <w:tabs>
          <w:tab w:leader="none" w:pos="15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authorized to be taken by Holders pursuant to any of the provisions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 or</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9.01, by delivering notice thereof as provided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9.02.</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Qualifications for Voting.</w:t>
      </w:r>
      <w:r>
        <w:rPr>
          <w:rFonts w:ascii="Times New Roman" w:cs="Times New Roman" w:eastAsia="Times New Roman" w:hAnsi="Times New Roman"/>
          <w:sz w:val="18"/>
          <w:szCs w:val="18"/>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No Delay of Rights by Meeting.</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Amendments or Supplemental Indentures Without Consent of Holders.</w:t>
      </w:r>
      <w:r>
        <w:rPr>
          <w:rFonts w:ascii="Times New Roman" w:cs="Times New Roman" w:eastAsia="Times New Roman" w:hAnsi="Times New Roman"/>
          <w:sz w:val="18"/>
          <w:szCs w:val="18"/>
          <w:color w:val="auto"/>
        </w:rPr>
        <w:t xml:space="preserve"> The Company and the Trustee, at the Company’s expense, may amend or supplement this Indenture or the Notes without notice to or the consent of any Holder to:</w:t>
      </w:r>
    </w:p>
    <w:p>
      <w:pPr>
        <w:spacing w:after="0" w:line="160" w:lineRule="exact"/>
        <w:rPr>
          <w:sz w:val="20"/>
          <w:szCs w:val="20"/>
          <w:color w:val="auto"/>
        </w:rPr>
      </w:pPr>
    </w:p>
    <w:p>
      <w:pPr>
        <w:ind w:left="1540" w:hanging="236"/>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Entity of the obligations of the Company under this Indenture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or Events of Default of the Company for the benefit of the Holders or surrender any right or power conferred upon the Company;</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Share Exchange Event, (i) provide that the Notes are convertible into Reference Property, subject to the</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and (ii) effect the related changes to the terms of the Notes described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in each case, in accordance with the applicable provisions of this Indenture;</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Conversion Rate as provided herein;</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appointment of and acceptance of appoint by a successor Trustee, Note Registrar, Paying Agent, Bid Solicitation Agent or Conversion Agent to facilitate the administration of the trusts under this Indenture by more than one trustee;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 a Settlement Method and/or a Specified Dollar Amount (or minimum Specified Dollar Amount), or eliminate the Company’s right to elect a Settlement Method (including, at the Company’s option upon an irrevocable election of a Settlement Method as provided under Section 14.02(a)),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such election or elimination will affect any Settlement Method theretofore elected (or deemed to be elected) with respect to any Note pursuant to Article 14;</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of any applicable securities depositary, including DTC;</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this Indenture to the “Description of Notes” section of the Offering Memorandum;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1600" w:hanging="296"/>
        <w:spacing w:after="0"/>
        <w:tabs>
          <w:tab w:leader="none" w:pos="1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successor Trustee with respect to the Notes;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of the Commission in connection with the qualification of this Indenture under the Trust Indenture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to approve the particular form of any proposed amendment. It will be sufficient if such Holders approve the substance of the proposed amendment. After an amendment under this Indenture becomes effective, the Company shall send to the Holders (with a copy to the Trustee) a notice briefly describing such amendment. However, the failure to give such notice to all the Holders, or any defect in the notice, will not impair or affect the validity of the amendment.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Amendments or Supplemental Indentures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184" w:lineRule="exact"/>
        <w:rPr>
          <w:sz w:val="20"/>
          <w:szCs w:val="20"/>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Maturity Date of any Note;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Notes, except as required by this Indenture;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the Specified Repurchase Date Repurchase Price on the Specified Repurchase Date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U.S. dollars;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and interest on such Holder’s Notes on or after the due dates therefor or to institute suit for the enforcement of any payment on or with respect to such Holder’s Notes;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Company’s obligation to pay Additional Amounts on any Note; or</w:t>
      </w:r>
    </w:p>
    <w:p>
      <w:pPr>
        <w:spacing w:after="0" w:line="221" w:lineRule="exact"/>
        <w:rPr>
          <w:rFonts w:ascii="Times New Roman" w:cs="Times New Roman" w:eastAsia="Times New Roman" w:hAnsi="Times New Roman"/>
          <w:sz w:val="18"/>
          <w:szCs w:val="18"/>
          <w:color w:val="auto"/>
        </w:rPr>
      </w:pPr>
    </w:p>
    <w:p>
      <w:pPr>
        <w:ind w:left="660" w:firstLine="644"/>
        <w:spacing w:after="0" w:line="286" w:lineRule="auto"/>
        <w:tabs>
          <w:tab w:leader="none" w:pos="15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 or in the waiver provisions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in each case, that requires each Holder’s consent.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of the proposed supplemental indenture. After any such supplemental indenture becomes effective, the Company shall deliver to the Holders (with a copy to the Trustee) a notice briefly describing such supplemental indenture. However, the failure to give such notice to all the Holders, or any defect in the notice, will not impair or affect the validity of the supplemental indenture.</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Effect of Supplemental Indentures</w:t>
      </w:r>
      <w:r>
        <w:rPr>
          <w:rFonts w:ascii="Times New Roman" w:cs="Times New Roman" w:eastAsia="Times New Roman" w:hAnsi="Times New Roman"/>
          <w:sz w:val="18"/>
          <w:szCs w:val="18"/>
          <w:color w:val="auto"/>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upon receipt of a Company Order and delivered in exchange for the Notes then outstanding, upon surrender of such Notes then outstanding.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Compliance of Supplemental Indenture to Be Furnished to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10, is permitted or authorized by this Indenture and is the legal, valid and binding obligation of the Company enforceable against it in accordance with its terms, subject to customary exceptions and qualifications.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When Company May Merge,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11.02, the Company shall not consolidate with or merge with or into, or sell, convey, transfer or lease all or substantially all of the consolidated properties and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(other than any such sale, conveyance, transfer or lease to one or more of the Company’s direct or indirect Wholly Owned Subsidiaries), unless:</w:t>
      </w:r>
    </w:p>
    <w:p>
      <w:pPr>
        <w:spacing w:after="0" w:line="182" w:lineRule="exact"/>
        <w:rPr>
          <w:sz w:val="20"/>
          <w:szCs w:val="20"/>
          <w:color w:val="auto"/>
        </w:rPr>
      </w:pPr>
    </w:p>
    <w:p>
      <w:pPr>
        <w:jc w:val="both"/>
        <w:ind w:left="660" w:firstLine="644"/>
        <w:spacing w:after="0" w:line="258" w:lineRule="auto"/>
        <w:tabs>
          <w:tab w:leader="none" w:pos="15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if not the Company is a Qualified Successor Entity (such Qualified Successor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duly organized and existing under the laws of the United States of America, any State thereof, the District of Columbia, the Cayman Islands, the British Virgin Islands, Bermuda, Singapore or Hong Kong and such Qualified Successor Entity (if not the Company) expressly assumes by supplemental indenture all of the obligations of the Company under the Notes and this Indenture (including, for the avoidance of doubt, the obligation to pay any Additional Amounts); and</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shall have occurred and be continuing under this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1" w:name="page72"/>
    <w:bookmarkEnd w:id="7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Successor Entity to Be Substituted.</w:t>
      </w:r>
      <w:r>
        <w:rPr>
          <w:rFonts w:ascii="Times New Roman" w:cs="Times New Roman" w:eastAsia="Times New Roman" w:hAnsi="Times New Roman"/>
          <w:sz w:val="18"/>
          <w:szCs w:val="18"/>
          <w:color w:val="auto"/>
        </w:rPr>
        <w:t xml:space="preserve"> In case of any such Business Combination Event and upon the assumption by the Successor Entity,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an Officer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Business Combination Event, such changes in phraseology and form (but not in substance) may be made in the Notes thereafter to be issued as may be appropriate.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Indenture and Notes Solely Corporate Obligations</w:t>
      </w:r>
      <w:r>
        <w:rPr>
          <w:rFonts w:ascii="Times New Roman" w:cs="Times New Roman" w:eastAsia="Times New Roman" w:hAnsi="Times New Roman"/>
          <w:sz w:val="18"/>
          <w:szCs w:val="18"/>
          <w:color w:val="auto"/>
        </w:rPr>
        <w:t>.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2" w:name="page73"/>
    <w:bookmarkEnd w:id="72"/>
    <w:p>
      <w:pPr>
        <w:jc w:val="center"/>
        <w:ind w:right="640"/>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Conversion Privilege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4"/>
        <w:spacing w:after="0" w:line="254" w:lineRule="auto"/>
        <w:tabs>
          <w:tab w:leader="none" w:pos="9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upon compliance with the provisions of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April 1, 2031, under the circumstances and during the periods set forth in Section 14.01(b), and (ii) regardless of the conditions described in Section 14.01(b), on or after April 1, 2031 until the close of business on the second Scheduled Trading Day immediately preceding the Maturity Date, in each case, at an initial conversion rate of 62.9921 Class A Ordinary Shares (subject to adjustment as provided in this Article</w:t>
      </w:r>
      <w:r>
        <w:rPr>
          <w:rFonts w:ascii="Times New Roman" w:cs="Times New Roman" w:eastAsia="Times New Roman" w:hAnsi="Times New Roman"/>
          <w:sz w:val="18"/>
          <w:szCs w:val="18"/>
          <w:b w:val="1"/>
          <w:bCs w:val="1"/>
          <w:color w:val="auto"/>
        </w:rPr>
        <w:t>‎</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640" w:firstLine="652"/>
        <w:spacing w:after="0" w:line="251" w:lineRule="auto"/>
        <w:tabs>
          <w:tab w:leader="none" w:pos="15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April 1, 2031,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written request by a Holder of Notes in accordance with this subsection (b)(i), for each Trading Day of the Measurement Period was less than 98% of the product of the Last Reported Sale Price of the Class A Ordinary Shares on each such Trading Day and the Conversion Rate on each such Trading Day. The Trading Prices shall be determined by the Bid Solicitation Agent pursuant to this subsection (b)(i)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of at least $2,000,000 aggregate principal amount of Notes provides the Company with reasonable evidence that the Trading Price per $1,000 principal amount of Notes on any Trading Day would be less than 98% of the product of the Last Reported Sale Price of the Class A Ordinary Shares on such Trading Day and the Conversion Rate on such Trading Day, at which time the Company shall instruct the securities dealers to deliver bids and the Bid Solicitation Agent (if other than the Company) in writing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Class A Ordinary Shares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instructs the Bid Solicitation Agent in writing to obtain bids and the Bid Solicitation Agent fails to make such determination, or</w:t>
      </w:r>
    </w:p>
    <w:p>
      <w:pPr>
        <w:spacing w:after="0" w:line="7" w:lineRule="exact"/>
        <w:rPr>
          <w:rFonts w:ascii="Times New Roman" w:cs="Times New Roman" w:eastAsia="Times New Roman" w:hAnsi="Times New Roman"/>
          <w:sz w:val="18"/>
          <w:szCs w:val="18"/>
          <w:color w:val="auto"/>
        </w:rPr>
      </w:pPr>
    </w:p>
    <w:p>
      <w:pPr>
        <w:jc w:val="both"/>
        <w:ind w:left="640" w:firstLine="4"/>
        <w:spacing w:after="0" w:line="251" w:lineRule="auto"/>
        <w:tabs>
          <w:tab w:leader="none" w:pos="8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Class A Ordinary Shares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Class A Ordinary Shares and the Conversion Rate for such date, the Company shall so notify in writing the Holders, the Trustee and the Conversion Agent (if other than the Trustee), and thereafter neither the Company nor the Bid Solicitation Agent (of other than the Company) shall be required to solicit bids again until a new Holder request is made as provided in this Section 14.01(b)(i).</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3" w:name="page74"/>
    <w:bookmarkEnd w:id="73"/>
    <w:p>
      <w:pPr>
        <w:ind w:left="1560" w:hanging="268"/>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April 1, 2031, the Company elects to:</w:t>
      </w:r>
    </w:p>
    <w:p>
      <w:pPr>
        <w:spacing w:after="0" w:line="225" w:lineRule="exact"/>
        <w:rPr>
          <w:rFonts w:ascii="Times New Roman" w:cs="Times New Roman" w:eastAsia="Times New Roman" w:hAnsi="Times New Roman"/>
          <w:sz w:val="18"/>
          <w:szCs w:val="18"/>
          <w:color w:val="auto"/>
        </w:rPr>
      </w:pPr>
    </w:p>
    <w:p>
      <w:pPr>
        <w:jc w:val="both"/>
        <w:ind w:left="2420" w:hanging="480"/>
        <w:spacing w:after="0" w:line="255" w:lineRule="auto"/>
        <w:tabs>
          <w:tab w:leader="none" w:pos="2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Class A Ordinary Shares any rights, options or warrants (other than in connection with a shareholder rights plan prior to separation of such rights from the Class A Ordinary Shares) entitling them, for a period of not more than forty-five (45) calendar days after the announcement date of such distribution, to subscribe for or purchase Class A Ordinary Shares at a price per share that is less than the average of the Last Reported Sale Prices of the Class A Ordinary Shares for the ten (10) consecutive Trading Day period ending on, and including, the Trading Day immediately preceding the date of announcement of such distribution; or</w:t>
      </w:r>
    </w:p>
    <w:p>
      <w:pPr>
        <w:spacing w:after="0" w:line="188" w:lineRule="exact"/>
        <w:rPr>
          <w:rFonts w:ascii="Times New Roman" w:cs="Times New Roman" w:eastAsia="Times New Roman" w:hAnsi="Times New Roman"/>
          <w:sz w:val="18"/>
          <w:szCs w:val="18"/>
          <w:color w:val="auto"/>
        </w:rPr>
      </w:pPr>
    </w:p>
    <w:p>
      <w:pPr>
        <w:jc w:val="both"/>
        <w:ind w:left="2420" w:hanging="480"/>
        <w:spacing w:after="0" w:line="258" w:lineRule="auto"/>
        <w:tabs>
          <w:tab w:leader="none" w:pos="2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Class A Ordinary Shares, the Company’s assets, securities or rights to purchase securities of the Company (other than in connection with a shareholder rights plan prior to separation of such rights from the Class A Ordinary Shares), which distribution has a per share value, as reasonably determined by the Company in good faith, exceeding 10% of the Last Reported Sale Price of the Class A Ordinary Shares on the Trading Day preceding the date of announcement for such distribution,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the Company shall notify all Holders of the Notes, the Trustee and the Conversion Agent (if other than the Trustee) in writing at least forty-eight (48) Scheduled Trading Days prior to the Ex-Dividend Date for such distribution (or, if later in the case of any such separation of rights issued pursuant to a shareholder rights plan, as soon as reasonably practicable after the Company becomes aware that such separation or triggering event has occurred or will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if the Company elects Physical Settlement for conversions that occur at any time from, and including, the date of notice until the earlier of (1) the close of business on the second Business Day immediately preceding the Ex-Dividend Date for such distribution and (2) the Company’s announcement that such issuance or distribution will not take place , the Company may provide not less than ten (10) Business Days’ nor more than thirty (30) Business Days’ notice before such Ex-Dividend Date. Once the Company has given such notice, Holders may surrender all or any portion of their Notes for conversion at any time from, and including, the date the Company provides such notice until the earlier of (1) the close of business on the second Business Day immediately preceding the Ex-Dividend Date for such distribution and (2) the Company’s announcement that such issuance or distribution will not take place, even if the Notes are not otherwise convertible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may not convert their Notes pursuant to this subsection (b)(ii) if they participate, at the same time and upon the same terms as holders of the Class A Ordinary Shares and solely as a result of holding the Notes, in any of the transactions described in clause (A) or (B) of this subsection (b)(ii) without having to convert their Notes as if they held a number of Class A Ordinary Shares equal to the applicable Conversion Rate multiplied by the principal amount (expressed in thousands) of Notes held by such Holder.</w:t>
      </w: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4" w:name="page75"/>
    <w:bookmarkEnd w:id="74"/>
    <w:p>
      <w:pPr>
        <w:jc w:val="both"/>
        <w:ind w:left="180" w:firstLine="652"/>
        <w:spacing w:after="0" w:line="252" w:lineRule="auto"/>
        <w:tabs>
          <w:tab w:leader="none" w:pos="11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or event that constitutes a Fundamental Change or a Make-Whole Fundamental Change occurs prior to the close of business on the Business Day immediately preceding April 1, 2031, regardless of whether a Holder has the right to require the Company to repurchase the Notes pursuant to Section 15.01, or if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the surviving entity and such shares become Reference Property for the Notes) that occurs prior to the close of business on the Business Day immediately preceding April 1, 2031, all or any portion of a Holder’s Notes may be surrendered for conversion at any time from or after the actual effective date of such transaction or event until the earlier of (x) 35 Business Days after the actual effective date of such transaction or event or, if such transaction or event also constitutes a Fundamental Change (other than an Exempted Fundamental Change), until the close of business on the Business Day immediately preceding the related Fundamental Change Repurchase Date and</w:t>
      </w:r>
    </w:p>
    <w:p>
      <w:pPr>
        <w:spacing w:after="0" w:line="5"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4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second Scheduled Trading Day immediately preceding the Maturity Date. The Company shall notify Holders, the Trustee and the Conversion Agent (if other than the Trustee) in writing as promptly as practicable following the effective date of such transaction or event, but in no event later than the effective date of such transaction or event.</w:t>
      </w:r>
    </w:p>
    <w:p>
      <w:pPr>
        <w:spacing w:after="0" w:line="186" w:lineRule="exact"/>
        <w:rPr>
          <w:sz w:val="20"/>
          <w:szCs w:val="20"/>
          <w:color w:val="auto"/>
        </w:rPr>
      </w:pPr>
    </w:p>
    <w:p>
      <w:pPr>
        <w:jc w:val="both"/>
        <w:ind w:left="180" w:firstLine="652"/>
        <w:spacing w:after="0" w:line="258" w:lineRule="auto"/>
        <w:tabs>
          <w:tab w:leader="none" w:pos="11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April 1, 2031, a Holder may surrender all or any portion of its Notes for conversion at any time during any calendar quarter commencing after the calendar quarter ending on September 30, 2025 (and only during such calendar quarter), if the Last Reported Sale Price of the Class A Ordinary Shares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1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Note for Redemption pursuant to Article 16 prior to the close of business on the Business Day immediately preceding April 1, 2031, then a Holder may surrender all or any portion of its Called Notes for conversion at any time prior to the close of business on the second Business Day prior to the related Redemption Date, even if the Called Notes are not otherwise convertible at such time. After that time, the right to convert shall expire under this clause (v), unless the Company defaults in the payment of the Redemption Price, in which case the Holder of the Called Notes may convert such Note until the Redemption Price has been paid or duly provided for. If the Company elects to redeem fewer than all of the outstanding Notes for Optional Redemption pursuant to Article 16, and the Holder of any Note, or any owner of a beneficial interest in any Global Note, is reasonably not able to determine, prior to the close of business on the 44th Scheduled Trading Day immediately preceding the relevant Redemption Date (or, if the Company elects Physical Settlement for conversions that occur during the related Redemption Period, on the fourth Business Day immediately preceding the relevant Optional Redemption Date), whether such Note or beneficial interest, as applicable, is to be redeemed pursuant to such redemption, then such Holder or owner, as applicable, will be 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If a Holder elects to convert Called Notes during the related Redemption Period, the Company</w:t>
      </w:r>
    </w:p>
    <w:p>
      <w:pPr>
        <w:spacing w:after="0" w:line="1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under certain circumstances, increase the Conversion Rate for such Called Notes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14.03. Accordingly, if the</w:t>
      </w:r>
    </w:p>
    <w:p>
      <w:pPr>
        <w:spacing w:after="0" w:line="9"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elects to redeem fewer than all of the outstanding Notes pursuant to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16, Holders of the Notes that are not Called Notes</w:t>
      </w:r>
    </w:p>
    <w:p>
      <w:pPr>
        <w:spacing w:after="0" w:line="9" w:lineRule="exact"/>
        <w:rPr>
          <w:rFonts w:ascii="Times New Roman" w:cs="Times New Roman" w:eastAsia="Times New Roman" w:hAnsi="Times New Roman"/>
          <w:sz w:val="18"/>
          <w:szCs w:val="18"/>
          <w:color w:val="auto"/>
        </w:rPr>
      </w:pPr>
    </w:p>
    <w:p>
      <w:pPr>
        <w:jc w:val="both"/>
        <w:ind w:lef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entitled to convert such Notes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14.01(b)(v) and shall not be entitled to an increase in the Conversion Rate on account of the Optional Redemption Notice for conversions of such Notes during the related Redemption Period, even if such</w:t>
      </w: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are otherwise convertible pursuant to any other provision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14.01(b).</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Conversion Procedure; Settlement Upon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4"/>
        <w:spacing w:after="0" w:line="259" w:lineRule="auto"/>
        <w:tabs>
          <w:tab w:leader="none" w:pos="9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14.03(b)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Class A Ordinary Shares, together with cash, if applicable, in lieu of delivering any fractional Class A</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in accordance with subsection (j)</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or a combination of cash and Class A Ordinary Shares, together with cash, if applicable, in lieu of delivering any fractional Class A Ordinary Shares in accordance with subsection (j)</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w:t>
      </w:r>
    </w:p>
    <w:p>
      <w:pPr>
        <w:spacing w:after="0" w:line="206" w:lineRule="exact"/>
        <w:rPr>
          <w:rFonts w:ascii="Times New Roman" w:cs="Times New Roman" w:eastAsia="Times New Roman" w:hAnsi="Times New Roman"/>
          <w:sz w:val="18"/>
          <w:szCs w:val="18"/>
          <w:color w:val="auto"/>
        </w:rPr>
      </w:pPr>
    </w:p>
    <w:p>
      <w:pPr>
        <w:ind w:left="640" w:firstLine="652"/>
        <w:spacing w:after="0" w:line="282" w:lineRule="auto"/>
        <w:tabs>
          <w:tab w:leader="none" w:pos="15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conversions of Called Notes for which the relevant Conversion Date occurs during the related Redemption Period, and all conversions for which the relevant Conversion Date occurs on or after April 1, 2031, shall be settled using the same Settlement Method.</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6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of Called Notes for which the relevant Conversion Date occurs during the related Redemption Period, and any conversions for which the relevant Conversion Date occurs on or after April 1, 2031, and except to the extent the Company has irrevocably elected Physical Settlement pursuant to Section 14.01(b)(ii) in a notice as described in such Section or has previously made an irrevocable election with respect to all subsequent conversions of Notes pursuant to Section 14.02(a)(iii), the Company shall use the same Settlement Method for all conversions with the same Conversion Date, but the Company shall not have any obligation to use the same Settlement Method with respect to conversions with different Conversion Dates.</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6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Conversion Date (or any conversions of Called Notes for which the relevant Conversion Date occurs during the related Redemption Period, or any conversions for which the relevant Conversion Date occurs on or after April 1, 2031 or for which the Company has irrevocably elected Physical Settlement pursuant to Section 14.01(b)(ii) in a notice as described in such Section),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either such period, as the case may be), the Company, shall deliver such Settlement Notice to converting Holders, the Trustee and the</w:t>
      </w:r>
    </w:p>
    <w:p>
      <w:pPr>
        <w:spacing w:after="0" w:line="3"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Agent (if other than the Trustee)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17.15, no later than the close of business on the Trading Day immediately following the relevant Conversion Date (or, in the case of (x) any conversion of Called Notes for which the relevant Conversion Date occurs during the related Redemption Period, in the relevant Redemption Notice, (y) any conversions of Notes for which the relevant Conversion Date occurs on or after April 1, 2031, no later than April 1, 2031, or (z) any conversions for which the Company has irrevocably elected Physical Settlement pursuant to Section 14.01(b)(ii), in a notice as described in such Section). If the Company does not timely elect a Settlement Method prior to the deadline set forth in the immediately preceding sentence, the Company shall no longer have the right to elect a Settlement Method with respect to any such Conversion Date or during such period and the Company shall be deemed to have elected the Default Settlement Method in respect of its Conversion Obligation.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in respect of its Conversion Obligation, or the Company is deemed to have elected Combination Settlement,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will not constitute a Default or Event of Default under this Indenture.</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5" w:right="339" w:bottom="1440" w:gutter="0" w:footer="0" w:header="0"/>
        </w:sectPr>
      </w:pPr>
    </w:p>
    <w:bookmarkStart w:id="76" w:name="page77"/>
    <w:bookmarkEnd w:id="76"/>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By notice to Holders, the Trustee and the Conversion Agent (if other than the Trustee), the Company may, from time to time, change the Default Settlement Method prior to April 1, 2031. In addition, by notice to Holders, the Trustee and the Conversion Agent (if other than the Trustee), the Company may, prior to April 1, 2031, at its option, irrevocably elect to fix the Settlement Method to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 amount set forth in such notice. If the Company changes the Default Settlement Method or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Settlement Method as described in the immediately preceding paragraph, or, if the Company does not timely notify Holders, such Specified Dollar Amount will be the specific amount set forth in the Settlement Notice or, if no specific amount was set forth in the Settlement Notice, such Specified Dollar Amount will be $1,000 per $1,000 principal amount of Notes. A change in the Default Settlement Method or an irrevocable election will apply to all conversions of Notes on Conversion Dates occurring subsequent to delivery of such Settlement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change or election will affect any Settlement Method theretofore elected (or deemed to be elected) with respect to any Note. For the avoidance of doubt, such an irrevocable election, if made, will be effective without the need to amend this Indenture or the Notes, including pursuant to the provisions described in Section 10.01(i). However, the Company may nonetheless choose to execute such an amendment at its option.</w:t>
      </w:r>
    </w:p>
    <w:p>
      <w:pPr>
        <w:spacing w:after="0" w:line="19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If the Company changes the Default Settlement Method or irrevocably fixes the Settlement Method pursuant to the provisions described in the preceding paragraph, then, concurrently with providing a Settlement Notice to Holders of Notes, the Trustee and the Conversion Agent (if other than the Trustee) of such change or election, the Company will post notice of the Default Settlement Method on its website or otherwise disclose such information in a Current Report on Form 6-K or 8-K that is filed with the Commission.</w:t>
      </w:r>
    </w:p>
    <w:p>
      <w:pPr>
        <w:spacing w:after="0" w:line="180" w:lineRule="exact"/>
        <w:rPr>
          <w:sz w:val="20"/>
          <w:szCs w:val="20"/>
          <w:color w:val="auto"/>
        </w:rPr>
      </w:pPr>
    </w:p>
    <w:p>
      <w:pPr>
        <w:ind w:left="180" w:right="20" w:firstLine="652"/>
        <w:spacing w:after="0" w:line="282" w:lineRule="auto"/>
        <w:tabs>
          <w:tab w:leader="none" w:pos="11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Class A Ordinary Shares or combination of cash and Class A Ordinary Shares payable or deliverable by the Company in respect of any conversion of 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161" w:lineRule="exact"/>
        <w:rPr>
          <w:rFonts w:ascii="Times New Roman" w:cs="Times New Roman" w:eastAsia="Times New Roman" w:hAnsi="Times New Roman"/>
          <w:sz w:val="18"/>
          <w:szCs w:val="18"/>
          <w:color w:val="auto"/>
        </w:rPr>
      </w:pPr>
    </w:p>
    <w:p>
      <w:pPr>
        <w:jc w:val="both"/>
        <w:ind w:left="2120" w:hanging="640"/>
        <w:spacing w:after="0" w:line="261" w:lineRule="auto"/>
        <w:tabs>
          <w:tab w:leader="none" w:pos="2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Class A Ordinary Shares equal to the Conversion Rate in effect immediately after the close of business on the Conversion Date;</w:t>
      </w:r>
    </w:p>
    <w:p>
      <w:pPr>
        <w:spacing w:after="0" w:line="179" w:lineRule="exact"/>
        <w:rPr>
          <w:rFonts w:ascii="Times New Roman" w:cs="Times New Roman" w:eastAsia="Times New Roman" w:hAnsi="Times New Roman"/>
          <w:sz w:val="18"/>
          <w:szCs w:val="18"/>
          <w:color w:val="auto"/>
        </w:rPr>
      </w:pPr>
    </w:p>
    <w:p>
      <w:pPr>
        <w:jc w:val="both"/>
        <w:ind w:left="2120" w:hanging="640"/>
        <w:spacing w:after="0" w:line="261" w:lineRule="auto"/>
        <w:tabs>
          <w:tab w:leader="none" w:pos="2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forty (40) consecutive Trading Days during the related Observation Period; and</w:t>
      </w:r>
    </w:p>
    <w:p>
      <w:pPr>
        <w:spacing w:after="0" w:line="179" w:lineRule="exact"/>
        <w:rPr>
          <w:rFonts w:ascii="Times New Roman" w:cs="Times New Roman" w:eastAsia="Times New Roman" w:hAnsi="Times New Roman"/>
          <w:sz w:val="18"/>
          <w:szCs w:val="18"/>
          <w:color w:val="auto"/>
        </w:rPr>
      </w:pPr>
    </w:p>
    <w:p>
      <w:pPr>
        <w:jc w:val="both"/>
        <w:ind w:left="2120" w:hanging="640"/>
        <w:spacing w:after="0" w:line="258" w:lineRule="auto"/>
        <w:tabs>
          <w:tab w:leader="none" w:pos="2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forty (40) consecutive Trading Days during the related Observation Period.</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77" w:name="page78"/>
    <w:bookmarkEnd w:id="77"/>
    <w:p>
      <w:pPr>
        <w:jc w:val="both"/>
        <w:ind w:firstLine="644"/>
        <w:spacing w:after="0" w:line="256" w:lineRule="auto"/>
        <w:tabs>
          <w:tab w:leader="none" w:pos="9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Class A Ordinary Shares, the Company shall notify the Trustee and the Conversion Agent (if other than the Trustee) of the Daily Settlement Amounts or the Daily Conversion Values, as the case may be, and the amount of cash payable in lieu of delivering fractional Class A Ordinary Shares. The Trustee and the Conversion Agent (if other than the Trustee) shall have no responsibility or liability for any such determination.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9" w:lineRule="auto"/>
        <w:tabs>
          <w:tab w:leader="none" w:pos="8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14.02(e), before any Holder of a Note shall be entitled to convert a Note as set forth above, a Holder shall (i) in the case of a Global Note, comply with the Applicable Procedures of the Depositary in effect at that time and, if required, pay funds equal to interest payable on the next Interest Payment Date to which such Holder is not entitled, and if required, pay all transfer or similar taxes, if any, as set forth</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14.02(h) and (ii) in the case of a Physical Note, the Holder thereof shall (1) complete, manually sign and deliver an irrevocable notice (or a facsimile, PDF or other electronic transmission thereof) to the Conversion Agent as set forth in the Form of Notice of Conversion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(with addresses) in which such Holder wishes the certificate or certificates for any Class A Ordinary Shares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14.02(h). The Trustee (and if different, the Conversion Agent) shall notify the Company of any conversion pursuant to this Article 14 on the Conversion Date for such conversion. No Holder may surrender Notes for conversion if such Holder has also delivered a Fundamental Change Repurchase Notice to the Company in respect of such Notes and has not validly withdrawn such Fundamental Change Repurchase Notice in accordance with Section 15.03.</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so surrendered.</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that the Holder has complied with the requirements set forth in subsection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(b) above. Except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14.03(b)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14.08(a), the Company shall pay or deliver, as the case may be, the consideration due in respect of the Conversion Obligation, on the second Business Day immediately following the relevant Conversion Date, if the Company elects Physical Settlement, or on the second Business Day immediately following the last Trading Day of the relevant Observation Period, in the case of any other Settlement Method;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Conversion Date occurring during a Redemption Period, the Company will settle any such conversion for which Physical Settlement is applicable on the relevant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the foregoing, with respect to any Conversion Date occurring after the regular Record Date immediately preceding the Maturity Date, the Company will settle any such conversion for which Physical Settlement is applicable on the Maturity Date. If any Class A Ordinary Shares are due to a converting Holder, the Company shall issue or cause to be issued, and deliver (if applicable) to the Conversion Agent or to such Holder, or such Holder’s nominee or nominees, the full number of Class A Ordinary Shares to which such Holder shall be entitled, in book-entry format through the Depositary, in satisfaction of the Company’s Conversion Obligation.</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8" w:name="page79"/>
    <w:bookmarkEnd w:id="78"/>
    <w:p>
      <w:pPr>
        <w:jc w:val="both"/>
        <w:ind w:left="-460" w:firstLine="644"/>
        <w:spacing w:after="0" w:line="255" w:lineRule="auto"/>
        <w:tabs>
          <w:tab w:leader="none" w:pos="4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deliver a Company Order, and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issue, transfer or similar tax due on the delivery of Class A Ordinary Shares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issue, transfer or similar tax due on the delivery of Class A Ordinary Shares upon conversion, unless the tax is due because the Holder requests such Class A Ordinary Shares to be issued in a name other than such Holder’s name, in which case such Holder shall pay that tax. The Conversion Agent may refuse to deliver the certificates representing Class A Ordinary Shares being issued in a name other than such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42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14.05, no adjustment shall be made for dividends on any Class A Ordinary Shares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Note Custodian (if other than the Trustee)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79" w:name="page80"/>
    <w:bookmarkEnd w:id="79"/>
    <w:p>
      <w:pPr>
        <w:jc w:val="both"/>
        <w:ind w:left="4" w:firstLine="644"/>
        <w:spacing w:after="0" w:line="251" w:lineRule="auto"/>
        <w:tabs>
          <w:tab w:leader="none" w:pos="92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The Company’s payment and delivery, as the case may be, of the Settlement Amount with respect to any converted Note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Class A Ordinary Shares, accrued and unpaid interest shall be deemed to be paid first out of the cash paid upon such conversion. Notwithstanding the foregoing, if Notes are converted after the close of business on a Regular Record Date, but prior to the open of business on the immediately following Interest Payment Date, Holders of such Notes as of the close of business on such Regular Record Date shall receive the full amount of interest payable on such Notes on the corresponding Interest Payment Date notwithstanding the conversion. However, Notes surrendered for conversion during the period from the close of business on any Regular Record Date to the open of business on the immediately following Interest Payment Date shall be accompanied by funds in U.S. dollars equal to the amount of interest payable on the Notes so converted (regardless of whether the converting Holder was the Holder of record on the corresponding Regular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close of business on the Regular Record Date immediately preceding the Maturity Date; (2) if the Company has specified a Redemption Date that is after a Regular Record Date and on or prior to the second Business Day immediately succeeding the corresponding Interest Payment Date (or, if such Interest Payment Date is not a Business Day, the third Business Day immediately succeeding such Interest Payment Date); (3) if the Company has specified a Fundamental Change Repurchase Date or the Specified Repurchase Date that is after a Regular Record Date and on or prior to the Business Day immediately succeeding the corresponding Interest Payment Date (or, if such Interest Payment Date is not a Business Day, the second Business Day immediately succeeding such Interest Payment Date); or (4) to the extent of any overdue interest, if any overdue interest exists at the time of conversion with respect to such Note. Therefore, for the avoidance of doubt, all Holders of record on the Regular Record Date immediately preceding the Maturity Date, the Specified Repurchase Date, any Fundamental Change Repurchase Date, or Redemption Date, in each case, as described above, shall receive the full interest payment due on the Maturity Date or other applicable Interest Payment Date in cash, regardless of whether their Notes have been converted following such Regular Record Date.</w:t>
      </w:r>
    </w:p>
    <w:p>
      <w:pPr>
        <w:spacing w:after="0" w:line="20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6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in whose name any Class A Ordinary Shares shall be issuable upon conversion shall become the holder of record of such shares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Upon a conversion of Notes, such Person shall no longer be a Holder of such Notes surrendered for conversion;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 converting Holder shall have the right to receive the Settlement Amount due upon conversion and (b) 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between a Regular Record Date and the corresponding Interest Payment Date, the Holder of record as of the close of business on such Regular Record Date shall have the right to receive the full amount of interest payable on such Interest Payment Date, in accordance with clause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80" w:name="page81"/>
    <w:bookmarkEnd w:id="80"/>
    <w:p>
      <w:pPr>
        <w:jc w:val="both"/>
        <w:ind w:firstLine="644"/>
        <w:spacing w:after="0" w:line="256" w:lineRule="auto"/>
        <w:tabs>
          <w:tab w:leader="none" w:pos="8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Class A Ordinary Shares upon conversion of the Notes and shall instead pay cash in lieu of delivering any fractional Class A Ordinary Shares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Adjustment to Conversion Rate Upon Conversion Upon a Make-Whole Fundamental 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4"/>
        <w:spacing w:after="0" w:line="253" w:lineRule="auto"/>
        <w:tabs>
          <w:tab w:leader="none" w:pos="9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Make-Whole Fundamental Change occurs prior to the Maturity Date and a Holder elects to convert its Notes (or any portion thereof) in connection with such Make-Whole Fundamental Change, the Company shall, under the circumstances described below, increase the Conversion Rate for the Notes so surrendered for conversion by a number of additional Class A Ordinary Shares (the “</w:t>
      </w:r>
      <w:r>
        <w:rPr>
          <w:rFonts w:ascii="Times New Roman" w:cs="Times New Roman" w:eastAsia="Times New Roman" w:hAnsi="Times New Roman"/>
          <w:sz w:val="18"/>
          <w:szCs w:val="18"/>
          <w:b w:val="1"/>
          <w:bCs w:val="1"/>
          <w:color w:val="auto"/>
        </w:rPr>
        <w:t>Additional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described below. A conversion of Notes shall be deemed for these purposes to be “in connection with” such Make-Whole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Fundamental Change if the relevant Conversion Date occurs during the period from, and including, the Effective Date of the Make-Whole Fundamental Change up to, and including, the second Business Day immediately prior to the related Fundamental Change Repurchase Date (or, in the case of a Make-Whole Fundamental Change that would have been a Fundamental Change but for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definition thereof or that constitutes an Exempted Fundamental Change, the 35th Business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The Company will provide written notification to Holders, the Trustee and the Conversion Agent (if other than the Trustee) of the Effective Date of any Make-Whole Fundamental Change and publish a notice on its website or through such other public medium as the Company may use at that time announcing such Effective Date no later than five (5) Business Days after such Effective Date.</w:t>
      </w:r>
    </w:p>
    <w:p>
      <w:pPr>
        <w:spacing w:after="0" w:line="189"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Notes for conversion in connection with a Make-Whole Fundamental Change, the Company shall, at its option,</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related Conversion Obligation by Physical Settlement, Cash Settlement or Combination Settlement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consideration received by holders of Class A Ordinary Shares in exchange for such Class A Ordinary Shares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Make-Whole Fundamental Change described in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definition of Fundamental Change is composed entirely of cash, for any conversion of Notes following the Effective Date of such Make-Whole Fundamental Change, the Conversion Obligation shall be calculated based solely on the Share Price for the transaction and shall be deemed to be an amount of cash per $1,000 principal amount of converted Notes equal to the Conversion Rate (including any increase to reflect the Additional Class A Ordinary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Share Price. In such event, the Conversion Obligation shall be determined and paid to Holders in cash on the second Business Day following the Conversion Date.</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81" w:name="page82"/>
    <w:bookmarkEnd w:id="81"/>
    <w:p>
      <w:pPr>
        <w:ind w:left="1540" w:hanging="236"/>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Class A Ordinary Shares, if any, by which the Conversion Rate shall be increased shall be determined by</w:t>
      </w:r>
    </w:p>
    <w:p>
      <w:pPr>
        <w:spacing w:after="0" w:line="27" w:lineRule="exact"/>
        <w:rPr>
          <w:rFonts w:ascii="Times New Roman" w:cs="Times New Roman" w:eastAsia="Times New Roman" w:hAnsi="Times New Roman"/>
          <w:sz w:val="18"/>
          <w:szCs w:val="18"/>
          <w:color w:val="auto"/>
        </w:rPr>
      </w:pP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table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14.03(e), based on the date on which the Make-Whole Fundamental Change occurs or becomes effective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paid (or deemed to be paid) per Class A Ordinary Share in the Make-Whole Fundamental Change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If the holders of Class A Ordinary Shares receive in exchange for their Class A Ordinary Shares only cash in a Make-Whole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described in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definition of Fundamental Change, the Share Price shall be the cash amount paid per share. Otherwise, the Share Price shall be the average of the Last Reported Sale Prices of the Class A Ordinary Shares over the five (5) consecutive Trading Day period ending on, and including, the Trading Day immediately preceding the relevant Effective Date. The Company shall make appropriate adjustments to the Share Price, in its good faith determination, to account for any adjustment to the Conversion Rate that becomes effective, or any event requiring an adjustment to the Conversion Rate where the Ex-Dividend Date, Effective Date or expiration date of the event occurs during such five consecutive Trading Day period. In the event that a conversion in connection with a Redemption Notice would also be deemed to be in connection with a Make-Whole Fundamental Change, a Holder of the Notes to be converted shall be entitled solely to a single increase to the Conversion Rate with respect to the first to occur of the applicable Redemption Reference Date or the Effective Date of the applicable Make-Whole Fundamental Change.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5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Prices set forth in the column headings of the table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14.03(e) shall be adjusted as of any date on which the Conversion Rate is otherwise adjusted. The adjusted Share Prices shall equal the Share Prices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the adjustment giving rise to the Share Price adjustment and the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denominator of which is the Conversion Rate as so adjusted. The number of Additional Class A Ordinary Shares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14.03(e) shall be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 the same manner and at the same time as the Conversion Rate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Class A Ordinary Shares by which the Conversion Rate shall be increased per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principal amount of the Notes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 for each Share Price and Effective Date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9"/>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Class A Ordinary Share Price</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8"/>
        </w:trPr>
        <w:tc>
          <w:tcPr>
            <w:tcW w:w="1360" w:type="dxa"/>
            <w:vAlign w:val="bottom"/>
          </w:tcPr>
          <w:p>
            <w:pPr>
              <w:spacing w:after="0"/>
              <w:rPr>
                <w:sz w:val="17"/>
                <w:szCs w:val="17"/>
                <w:color w:val="auto"/>
              </w:rPr>
            </w:pPr>
          </w:p>
        </w:tc>
        <w:tc>
          <w:tcPr>
            <w:tcW w:w="76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0" w:type="dxa"/>
            <w:vAlign w:val="bottom"/>
            <w:gridSpan w:val="3"/>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66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72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7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7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7"/>
                <w:szCs w:val="17"/>
                <w:color w:val="auto"/>
              </w:rPr>
            </w:pPr>
          </w:p>
        </w:tc>
      </w:tr>
      <w:tr>
        <w:trPr>
          <w:trHeight w:val="241"/>
        </w:trPr>
        <w:tc>
          <w:tcPr>
            <w:tcW w:w="1360" w:type="dxa"/>
            <w:vAlign w:val="bottom"/>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$25.00</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100.00</w:t>
            </w:r>
          </w:p>
        </w:tc>
        <w:tc>
          <w:tcPr>
            <w:tcW w:w="60" w:type="dxa"/>
            <w:vAlign w:val="bottom"/>
          </w:tcPr>
          <w:p>
            <w:pPr>
              <w:spacing w:after="0"/>
              <w:rPr>
                <w:sz w:val="20"/>
                <w:szCs w:val="20"/>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23, 2025</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15.7480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15.2114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12.0957</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9.5883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7.8575</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6.4080</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5.0780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2.4640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1.7813</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0.9504</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0.4960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0.0871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July 1, 2026</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15.7480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12.0139</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9.3794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6.1323</w:t>
            </w:r>
          </w:p>
        </w:tc>
        <w:tc>
          <w:tcPr>
            <w:tcW w:w="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4.8124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3.2577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2.2937</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1.6515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0.8770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0.4548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0.0771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2027</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15.7480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15.1521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11.5617</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8.8211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7.0230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5.5857</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4.3256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2.8853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2.0151</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1.4435</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0.7598</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0.3892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0.0628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July 1, 2028</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15.7480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14.5457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10.6606</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7.8578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6.1100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4.7692</w:t>
            </w:r>
          </w:p>
        </w:tc>
        <w:tc>
          <w:tcPr>
            <w:tcW w:w="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3.6360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1.6569</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1.1830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0.6184</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0.3112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0.0413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2029</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15.7480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12.2243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8.8035</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6.3256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4.7975</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3.6536</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0.8593</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0.4484</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0.2210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0.0224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July 1, 2030</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15.7480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6.9314</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4.3617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2.9845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2.0945</w:t>
            </w:r>
          </w:p>
        </w:tc>
        <w:tc>
          <w:tcPr>
            <w:tcW w:w="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0.9220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0.6440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0.4685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0.2488</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0.1188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0.0050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2031</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15.7480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8.4364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655"/>
        </w:trPr>
        <w:tc>
          <w:tcPr>
            <w:tcW w:w="1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The exact Share Price and Effective Date may not be set forth in the table above, in which case:</w:t>
      </w:r>
    </w:p>
    <w:p>
      <w:pPr>
        <w:spacing w:after="0" w:line="225" w:lineRule="exact"/>
        <w:rPr>
          <w:sz w:val="20"/>
          <w:szCs w:val="20"/>
          <w:color w:val="auto"/>
        </w:rPr>
      </w:pPr>
    </w:p>
    <w:p>
      <w:pPr>
        <w:jc w:val="both"/>
        <w:ind w:left="1300" w:firstLine="652"/>
        <w:spacing w:after="0" w:line="261" w:lineRule="auto"/>
        <w:tabs>
          <w:tab w:leader="none" w:pos="21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between two Share Prices in the table above or the Effective Date is between two Effective Dates in the table above, the number of Additional Class A Ordinary Shares by which the Conversion Rate shall be increased shall be determined by a straight-line interpolation between the number of Additional Class A Ordinary Shares set forth for the higher and lower Share Prices and the earlier and later Effective Dates, as applicable, based on a 365-day year;</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greater than $100.00 per share (subject to adjustment in the same manner as the Share Prices set forth in the column headings of the table above pursuant to subsection (d)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no Additional Class A Ordinary Shares shall be added to the Conversion Rate;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less than $12.70 per share (subject to adjustment in the same manner as the Share Prices set forth in the column headings of the table above pursuant to subsection (d)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no Additional Class A Ordinary Shares shall be added to the Conversion Rate.</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78.7401 Class A Ordinary Shares, subject to adjustment in the same manner as the Conversion Rate pursuant to ‎Section 14.05.</w:t>
      </w:r>
    </w:p>
    <w:p>
      <w:pPr>
        <w:spacing w:after="0" w:line="162"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Neither the Trustee nor any of the agents shall have any duty to monitor the accuracy of any of the calculations made by the Company which will be conclusive and binding on the Holders, absent manifest error.</w:t>
      </w:r>
    </w:p>
    <w:p>
      <w:pPr>
        <w:spacing w:after="0" w:line="158" w:lineRule="exact"/>
        <w:rPr>
          <w:sz w:val="20"/>
          <w:szCs w:val="20"/>
          <w:color w:val="auto"/>
        </w:rPr>
      </w:pPr>
    </w:p>
    <w:p>
      <w:pPr>
        <w:ind w:left="660" w:firstLine="644"/>
        <w:spacing w:after="0" w:line="286" w:lineRule="auto"/>
        <w:tabs>
          <w:tab w:leader="none" w:pos="15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in respect of a Make-Whole Fundamental Change.</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i w:val="1"/>
          <w:iCs w:val="1"/>
          <w:color w:val="auto"/>
        </w:rPr>
        <w:t>Adjustment to Conversion Rate upon Conversion in Connection with a Redemption.</w:t>
      </w:r>
      <w:r>
        <w:rPr>
          <w:rFonts w:ascii="Times New Roman" w:cs="Times New Roman" w:eastAsia="Times New Roman" w:hAnsi="Times New Roman"/>
          <w:sz w:val="18"/>
          <w:szCs w:val="18"/>
          <w:color w:val="auto"/>
        </w:rPr>
        <w:t xml:space="preserve"> If a Holder elects to convert its Called Notes in connection with a Redemption, the Company will, under certain circumstances, increase the Conversion Rate for the Notes so surrendered for conversion by a number of Additional Class A Ordinary Shares as described below. The Company will settle conversions of Notes and, for the avoidance of doubt, pay Additional Amounts, if any, with respect to any such conversion.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conversion of Called Notes shall be deemed to be in connection with a Redemption if such conversion occurs during the related Redemption Period. In the event that a conversion of Called Notes in connection with a Redemption would also be deemed to be in connection with a Make-Whole Fundamental Change or any other Redemption, a Holder of the Notes to be converted will be entitled to a single increase to the Conversion Rate with respect to the first to occur of the applicable Redemption Notice and the Effective Date of the applicable Make-Whole Fundamental Change, and the later event will be deemed not to have occurred for purposes of Section 14.03 or this Section 14.04, as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if the Company issues a Redemption Notice in connection with an Optional Redemption, the Company will increase the Conversion Rate during the related Redemption Period only with respect to conversions of Called Notes. Accordingly, if the Company elects to redeem fewer than all of the outstanding Notes in connection with an Optional Redemption, Holders will not be entitled to convert the Notes that are neither called for Redemption nor deemed to be called for Redemption on account of the Redemption Notice and will not be entitled to an increased Conversion Rate for conversions of such Notes on account of the Redemption Notice during the related Redemption Period, even if such Notes are otherwise convertible.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number of Additional Class A Ordinary Shares by which the Conversion Rate will be increased in the event of conversion of Notes called for Redemption in connection with a Redemption will be determined by reference to the table in Section 14.03(e), based on the Redemption Reference Date and the Redemption Reference Price, but determined for purposes of this Section 14.04 as if (x) the Holder had elected to convert its Notes called for Redemption in connection with a Make-Whole Fundamental Change, (y) the applicable Redemption Reference Date were the “Effective Date” and (z) the applicable Redemption Reference Price were the Share Price (and subject, for the avoidance of doubt, to the two paragraphs immediately following such table).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Trustee nor any of the agents shall have any duty to monitor the accuracy of any of the calculations made by the Company which will be conclusive and binding on the Holders, absent manifest error.</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participate (other than in the case of (x) a share split or share combination or (y) a tender or exchange offer), at the same time and upon the same terms as holders of the Class A Ordinary Shares and solely as a result of holding the Notes, in any of the transactions described in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14.05, without having to convert their Notes as if they held a number of Class A Ordinary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 Neither the Trustee nor the Conversion Agent shall have any responsibility to monitor the accuracy of any calculation of any adjustment to the Conversion Rate and the same shall be conclusive and binding on the Holders, absent manifest error. Notice of such adjustment to the Conversion Rate will be given by the Company promptly in writing to the Holders, the Trustee and the Conversion Agent (if other than the Trustee) and shall be conclusive and binding on the Holders, absent manifest error.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left="660" w:firstLine="644"/>
        <w:spacing w:after="0" w:line="282" w:lineRule="auto"/>
        <w:tabs>
          <w:tab w:leader="none" w:pos="15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Class A Ordinary Shares as a dividend or distribution on Class A Ordinary Shares,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114300</wp:posOffset>
            </wp:positionV>
            <wp:extent cx="1200150" cy="428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200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62" w:lineRule="exact"/>
        <w:rPr>
          <w:sz w:val="20"/>
          <w:szCs w:val="20"/>
          <w:color w:val="auto"/>
        </w:rPr>
      </w:pPr>
    </w:p>
    <w:p>
      <w:pPr>
        <w:sectPr>
          <w:pgSz w:w="11900" w:h="16838" w:orient="portrait"/>
          <w:cols w:equalWidth="0" w:num="2">
            <w:col w:w="320" w:space="660"/>
            <w:col w:w="10260"/>
          </w:cols>
          <w:pgMar w:left="320" w:top="33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17"/>
          <w:szCs w:val="17"/>
          <w:color w:val="auto"/>
        </w:rPr>
        <w:t>=</w:t>
        <w:tab/>
        <w:t>the Conversion Rate in effect immediately after the open of business on such Ex-Dividend Date or Effective Date, as applicable;</w:t>
      </w:r>
    </w:p>
    <w:p>
      <w:pPr>
        <w:spacing w:after="0" w:line="211" w:lineRule="exact"/>
        <w:rPr>
          <w:sz w:val="20"/>
          <w:szCs w:val="20"/>
          <w:color w:val="auto"/>
        </w:rPr>
      </w:pPr>
    </w:p>
    <w:p>
      <w:pPr>
        <w:sectPr>
          <w:pgSz w:w="11900" w:h="16838" w:orient="portrait"/>
          <w:cols w:equalWidth="0" w:num="2">
            <w:col w:w="320" w:space="340"/>
            <w:col w:w="10580"/>
          </w:cols>
          <w:pgMar w:left="320" w:top="337"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Class A Ordinary Shares issued and outstanding immediately prior to the open of business on such Ex-Dividend Date or Effective Date, as applicable (before giving effect to any such dividend, distribution, split or combination); and</w:t>
      </w:r>
    </w:p>
    <w:p>
      <w:pPr>
        <w:spacing w:after="0" w:line="162" w:lineRule="exact"/>
        <w:rPr>
          <w:sz w:val="20"/>
          <w:szCs w:val="20"/>
          <w:color w:val="auto"/>
        </w:rPr>
      </w:pPr>
    </w:p>
    <w:p>
      <w:pPr>
        <w:sectPr>
          <w:pgSz w:w="11900" w:h="16838" w:orient="portrait"/>
          <w:cols w:equalWidth="0" w:num="2">
            <w:col w:w="320" w:space="660"/>
            <w:col w:w="10260"/>
          </w:cols>
          <w:pgMar w:left="320" w:top="33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ind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Class A Ordinary Shares issued and outstanding immediately after giving effect to such dividend, distribution, share split or share combination.</w:t>
      </w:r>
    </w:p>
    <w:p>
      <w:pPr>
        <w:spacing w:after="0" w:line="162" w:lineRule="exact"/>
        <w:rPr>
          <w:sz w:val="20"/>
          <w:szCs w:val="20"/>
          <w:color w:val="auto"/>
        </w:rPr>
      </w:pPr>
    </w:p>
    <w:p>
      <w:pPr>
        <w:sectPr>
          <w:pgSz w:w="11900" w:h="16838" w:orient="portrait"/>
          <w:cols w:equalWidth="0" w:num="2">
            <w:col w:w="320" w:space="660"/>
            <w:col w:w="10260"/>
          </w:cols>
          <w:pgMar w:left="320" w:top="337" w:right="3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14.05(a)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14.05(a)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p>
      <w:pPr>
        <w:jc w:val="both"/>
        <w:ind w:left="660" w:firstLine="644"/>
        <w:spacing w:after="0" w:line="258" w:lineRule="auto"/>
        <w:tabs>
          <w:tab w:leader="none" w:pos="15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or substantially all holders of Class A Ordinary Shares any rights, options or warrants (other than in connection with a shareholder rights plan) entitling them, for a period of not more than forty-five (45) calendar days after the announcement date of such distribution, to subscribe for or purchase Class A Ordinary Shares at a price per share that is less than the average of the Last Reported Sale Prices of the Class A Ordinary Shares, for the ten (10) consecutive Trading Day period ending on, and including, the Trading Day immediately preceding the date of announcement of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128270</wp:posOffset>
            </wp:positionV>
            <wp:extent cx="1285875" cy="377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2858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80" w:type="dxa"/>
            <w:vAlign w:val="bottom"/>
          </w:tcPr>
          <w:p>
            <w:pPr>
              <w:spacing w:after="0"/>
              <w:rPr>
                <w:sz w:val="20"/>
                <w:szCs w:val="20"/>
                <w:color w:val="auto"/>
              </w:rPr>
            </w:pPr>
          </w:p>
        </w:tc>
        <w:tc>
          <w:tcPr>
            <w:tcW w:w="96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tc>
      </w:tr>
      <w:tr>
        <w:trPr>
          <w:trHeight w:val="44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 number of Class A Ordinary Shares issued and outstanding immediately prior to the open of business on such Ex-Dividend Date;</w:t>
            </w:r>
          </w:p>
        </w:tc>
      </w:tr>
    </w:tbl>
    <w:p>
      <w:pPr>
        <w:spacing w:after="0" w:line="181"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Class A Ordinary Shares deliverable pursuant to such rights, options or warrants; and</w:t>
      </w:r>
    </w:p>
    <w:p>
      <w:pPr>
        <w:spacing w:after="0" w:line="223" w:lineRule="exact"/>
        <w:rPr>
          <w:sz w:val="20"/>
          <w:szCs w:val="20"/>
          <w:color w:val="auto"/>
        </w:rPr>
      </w:pPr>
    </w:p>
    <w:p>
      <w:pPr>
        <w:ind w:left="980" w:hanging="972"/>
        <w:spacing w:after="0" w:line="267" w:lineRule="auto"/>
        <w:tabs>
          <w:tab w:leader="none" w:pos="6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Class A Ordinary Shares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Class A Ordinary Shares over the ten (10) consecutive Trading Day period ending on, and including, the Trading Day immediately preceding the date of announcement of the distribution of such rights, options or warrants.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14.05(b) shall be made successively whenever any such rights, options or warrants are distributed and shall become effective immediately after the open of business on the Ex-Dividend Date for such distribution. To the extent that Class A Ordinary Shares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Class A Ordinary Shares actually delivered. To the extent such rights, options or warrants are not so distributed, the Conversion Rate shall be decreased to the Conversion Rate that would then be in effect had the adjustment been made on the basis of only the distribution, if any, actually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 of this Section 14.05(b) and for the purpose of Section‎ 14.01(b)(ii)(A), in determining whether any rights, options or warrants entitle the holders to subscribe for or purchase Class A Ordinary Shares at a price per Class A Ordinary Share that is less than such average of the Last Reported Sale Prices of the Class A Ordinary Shares for the ten (10) consecutive Trading Day period ending on, and including, the Trading Day immediately preceding the date of announcement of such distribution, and in determining the aggregate offering price of such Class A Ordinary Shares,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87" w:lineRule="exact"/>
        <w:rPr>
          <w:sz w:val="20"/>
          <w:szCs w:val="20"/>
          <w:color w:val="auto"/>
        </w:rPr>
      </w:pPr>
    </w:p>
    <w:p>
      <w:pPr>
        <w:jc w:val="both"/>
        <w:ind w:left="660" w:firstLine="644"/>
        <w:spacing w:after="0" w:line="257" w:lineRule="auto"/>
        <w:tabs>
          <w:tab w:leader="none" w:pos="15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its Capital Shares, evidences of its indebtedness, other assets or property of the Company or rights, options or warrants to acquire its Capital Shares or other securities, to all or substantially all holders of Class A Ordinary Shares, excluding (i) dividends, distributions or issuances (including share splits) as to which an adjustment was effected (or would have been effected but for the 1% exception)</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14.05(a)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14.05(b), (ii) except as otherwise provided below, rights issued pursuant to any shareholder rights plan of the Company then in effect, (iii) distributions of Reference Property issued in exchange for, or upon conversion of, Class A Ordinary Shares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(iv) dividends or distributions paid exclusively in cash as to which an adjustment was effected pursuant to Section</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14.05(d) shall apply, and (v) Spin-Offs as to which the provisions set forth below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14.05(c) shall apply (any of such Capital Shares, evidences of indebtedness, other assets or property or rights, options or warrants to acquire Capital Shares or other securities, the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129540</wp:posOffset>
            </wp:positionV>
            <wp:extent cx="1431290" cy="3771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066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tc>
      </w:tr>
      <w:tr>
        <w:trPr>
          <w:trHeight w:val="44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w:t>
            </w:r>
          </w:p>
        </w:tc>
      </w:tr>
      <w:tr>
        <w:trPr>
          <w:trHeight w:val="40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Last Reported Sale Prices of the Class A Ordinary Shares over the 10 consecutive Trading Day period ending on, and</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including, the Trading Day immediately preceding the Ex-Dividend Date for such distribution;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fair market value (as determined by the Company in good faith) of the Distributed Property distributed with respect to each outstanding</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A Ordinary Share on the Ex-Dividend Date for such distribution.</w:t>
            </w:r>
          </w:p>
        </w:tc>
      </w:tr>
      <w:tr>
        <w:trPr>
          <w:trHeight w:val="655"/>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8"/>
                <w:szCs w:val="18"/>
                <w:color w:val="auto"/>
              </w:rPr>
              <w:t>78</w:t>
            </w:r>
          </w:p>
        </w:tc>
      </w:tr>
    </w:tbl>
    <w:p>
      <w:pPr>
        <w:sectPr>
          <w:pgSz w:w="11900" w:h="16838" w:orient="portrait"/>
          <w:cols w:equalWidth="0" w:num="1">
            <w:col w:w="11240"/>
          </w:cols>
          <w:pgMar w:left="320" w:top="337" w:right="339" w:bottom="1440" w:gutter="0" w:footer="0" w:header="0"/>
        </w:sectPr>
      </w:pPr>
    </w:p>
    <w:bookmarkStart w:id="87" w:name="page88"/>
    <w:bookmarkEnd w:id="87"/>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Any increase made under the portion of this Section‎ 14.05(c) above shall become effective immediately after the open of business on the Ex-Dividend Date for such distribution. To the extent such distribution is not so paid or made, the Conversion Rate shall be decreased to the Conversion Rate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Class A Ordinary Shares receive the Distributed Property without having to convert its Notes, the amount and kind of Distributed Property such Holder would have received if such Holder owned a number of Class A Ordinary Shares equal to the Conversion Rate in effect on the Ex-Dividend Date for the distribution.</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14.05(c) where there has been a payment of a dividend or other distribution on the Class A Ordinary Shares or Capital Shares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125730</wp:posOffset>
            </wp:positionV>
            <wp:extent cx="1534160" cy="377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5341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066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end of the Valuation Period;</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end of the Valuation Period;</w:t>
            </w:r>
          </w:p>
        </w:tc>
      </w:tr>
      <w:tr>
        <w:trPr>
          <w:trHeight w:val="4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Last Reported Sale Prices of the Capital Shares or similar equity interest distributed to holders of the Class A Ordinary</w:t>
            </w:r>
          </w:p>
        </w:tc>
      </w:tr>
      <w:tr>
        <w:trPr>
          <w:trHeight w:val="211"/>
        </w:trPr>
        <w:tc>
          <w:tcPr>
            <w:tcW w:w="580" w:type="dxa"/>
            <w:vAlign w:val="bottom"/>
          </w:tcPr>
          <w:p>
            <w:pPr>
              <w:spacing w:after="0"/>
              <w:rPr>
                <w:sz w:val="18"/>
                <w:szCs w:val="18"/>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applicable to one Class A Ordinary Share (determined by reference to the definition of Last Reported Sale Price as set forth in ‎Section</w:t>
            </w:r>
          </w:p>
        </w:tc>
      </w:tr>
      <w:tr>
        <w:trPr>
          <w:trHeight w:val="212"/>
        </w:trPr>
        <w:tc>
          <w:tcPr>
            <w:tcW w:w="580" w:type="dxa"/>
            <w:vAlign w:val="bottom"/>
          </w:tcPr>
          <w:p>
            <w:pPr>
              <w:spacing w:after="0"/>
              <w:rPr>
                <w:sz w:val="18"/>
                <w:szCs w:val="18"/>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 as if references therein to Class A Ordinary Shares were to such Capital Shares or similar equity interest) over the first ten (10)</w:t>
            </w:r>
          </w:p>
        </w:tc>
      </w:tr>
      <w:tr>
        <w:trPr>
          <w:trHeight w:val="238"/>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Last Reported Sale Prices of the Class A Ordinary Shares over the Valuation Period.</w:t>
            </w:r>
          </w:p>
        </w:tc>
      </w:tr>
      <w:tr>
        <w:trPr>
          <w:trHeight w:val="638"/>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8"/>
                <w:szCs w:val="18"/>
                <w:color w:val="auto"/>
              </w:rPr>
              <w:t>79</w:t>
            </w:r>
          </w:p>
        </w:tc>
      </w:tr>
    </w:tbl>
    <w:p>
      <w:pPr>
        <w:sectPr>
          <w:pgSz w:w="11900" w:h="16838" w:orient="portrait"/>
          <w:cols w:equalWidth="0" w:num="1">
            <w:col w:w="11240"/>
          </w:cols>
          <w:pgMar w:left="320" w:top="337" w:right="339" w:bottom="1440" w:gutter="0" w:footer="0" w:header="0"/>
        </w:sectPr>
      </w:pPr>
    </w:p>
    <w:bookmarkStart w:id="88" w:name="page89"/>
    <w:bookmarkEnd w:id="8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such Conversion Date in determining the Conversion Rate and (y) in respect of any conversion of the Notes for which Cash Settlement or Combination Settlement is applicable, for any Trading Day that falls within the relevant Observation Period for such conversion and within the Valuation Period, the references to “10” in the preceding paragraph shall be deemed replaced with such lesser number of Trading Days as have elapsed from, and including, the Ex-Dividend Date for such Spin-Off to, and including, such Trading Day in determining the Conversion Rate as of such Trading Day. If the dividend or other distribution constituting a Spin-Off is declared but not so paid or made, the Conversion Rate shall be decreased, effective as of the date the Board of Directors determines not to make or pay such dividend or other distribution, to the Conversion Rate that would be in effect if such dividend or distribution had not been declared or announced.</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Section 14.05(c) (and subject in all respects to Section 14.12), rights, options or warrants distributed by the Company to all holders of Class A Ordinary Shares entitling them to subscribe for or purchase the Company’s Capital Shares, including Class A Ordinary Shares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Class A Ordinary Shares; (ii) are not exercisable; and (iii) are also issued in respect of future issuances of Class A Ordinary Shares, shall be deemed not to have been distributed for purposes of this Section 14.05(c) (and no adjustment to the Conversion Rate under this Section 14.05(c) will be required) until the occurrence of the earliest Trigger Event, whereupon such rights, options or warrants shall be deemed to have been distributed and an appropriate adjustment (if any is required) to the Conversion Rate shall be made under this Section 14.05(c).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14.05(c)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Ordinary Shares with respect to such rights, options or warrants (assuming such holder had retained such rights, options or warrants), made to all holders of Class A Ordinary Shares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Section 14.05(a), Section 14.05(b) and this Section 14.05(c), if any dividend or distribution to which this Section 14.05(c) is applicable also includes one or both of:</w:t>
      </w:r>
    </w:p>
    <w:p>
      <w:pPr>
        <w:spacing w:after="0" w:line="158" w:lineRule="exact"/>
        <w:rPr>
          <w:sz w:val="20"/>
          <w:szCs w:val="20"/>
          <w:color w:val="auto"/>
        </w:rPr>
      </w:pPr>
    </w:p>
    <w:p>
      <w:pPr>
        <w:ind w:left="960" w:hanging="30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Class A Ordinary Shares to which Section 14.05(a)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(B) a dividend or distribution of rights, options or warrants to which Section 14.05(b)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14.05(c)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14.05(c) with respect to such Clause C Distribution shall then be made, and (2) the Clause A Distribution and Clause B Distribution shall be deemed to immediately follow the Clause C Distribution and any Conversion Rate adjustment required by Section 14.05(a) and Section 14.05(b) with respect thereto shall then be made, except that, if determined by the Company (I) the “Ex-Dividend Date” of the Clause A Distribution and the Clause B Distribution shall be deemed to be the Ex-Dividend Date of the Clause C Distribution and (II) any Class A Ordinary Shares included in the Clause A Distribution or Clause B Distribution shall be deemed not to be “outstanding immediately prior to the open of business on such Ex-Dividend Date or Effective Date” within the meaning of Section 14.05(a) or “outstanding immediately prior to the open of business on such Ex-Dividend Date” within the meaning of Section 14.05(b).</w:t>
      </w:r>
    </w:p>
    <w:p>
      <w:pPr>
        <w:spacing w:after="0" w:line="192" w:lineRule="exact"/>
        <w:rPr>
          <w:sz w:val="20"/>
          <w:szCs w:val="20"/>
          <w:color w:val="auto"/>
        </w:rPr>
      </w:pPr>
    </w:p>
    <w:p>
      <w:pPr>
        <w:ind w:left="660" w:firstLine="644"/>
        <w:spacing w:after="0" w:line="282" w:lineRule="auto"/>
        <w:tabs>
          <w:tab w:leader="none" w:pos="15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any cash dividend or distribution to all or substantially all holders of the shares of the Class A Ordinary Shares,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114300</wp:posOffset>
            </wp:positionV>
            <wp:extent cx="1225550" cy="377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12255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80" w:type="dxa"/>
            <w:vAlign w:val="bottom"/>
          </w:tcPr>
          <w:p>
            <w:pPr>
              <w:spacing w:after="0"/>
              <w:rPr>
                <w:sz w:val="20"/>
                <w:szCs w:val="20"/>
                <w:color w:val="auto"/>
              </w:rPr>
            </w:pPr>
          </w:p>
        </w:tc>
        <w:tc>
          <w:tcPr>
            <w:tcW w:w="103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dividend or distribution;</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for such dividend or distribution;</w:t>
            </w:r>
          </w:p>
        </w:tc>
      </w:tr>
      <w:tr>
        <w:trPr>
          <w:trHeight w:val="4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Last Reported Sale Price of the Class A Ordinary Shares on the Trading Day immediately preceding the Ex-Dividend Date for such</w:t>
            </w:r>
          </w:p>
        </w:tc>
      </w:tr>
      <w:tr>
        <w:trPr>
          <w:trHeight w:val="234"/>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or distribution; and</w:t>
            </w:r>
          </w:p>
        </w:tc>
      </w:tr>
    </w:tbl>
    <w:p>
      <w:pPr>
        <w:spacing w:after="0" w:line="193" w:lineRule="exact"/>
        <w:rPr>
          <w:sz w:val="20"/>
          <w:szCs w:val="20"/>
          <w:color w:val="auto"/>
        </w:rPr>
      </w:pPr>
    </w:p>
    <w:p>
      <w:pPr>
        <w:jc w:val="center"/>
        <w:ind w:left="5540" w:right="380" w:hanging="5532"/>
        <w:spacing w:after="0" w:line="783" w:lineRule="auto"/>
        <w:tabs>
          <w:tab w:leader="none" w:pos="66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Class A Ordinary Share the Company distributes to all or substantially all holders of the Class A Ordinary Shares.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Any increase made pursuant to this Section‎ 14.05(d) shall become effective immediately after the open of business on the Ex-Dividend Date for such dividend or distribution. To the extent such dividend or distribution is not so paid, the Conversion Rate shall be decreased, effective as of the date the Board of Directors determines not to make or pay such dividend or distribution, to be the Conversion Rate that would then be in effect had the adjustment been made on the basis of only the dividend or distribution, if any, actually made or paid. Notwithstanding the foregoing, if “C”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at the same time and upon the same terms as holders of Class A Ordinary Shares without having to convert its Notes, the amount of cash that such Holder would have received if such Holder owned a number of Class A Ordinary Shares equal to the Conversion Rate on the Ex-Dividend Date for such cash dividend or distribution.</w:t>
      </w:r>
    </w:p>
    <w:p>
      <w:pPr>
        <w:spacing w:after="0" w:line="205" w:lineRule="exact"/>
        <w:rPr>
          <w:sz w:val="20"/>
          <w:szCs w:val="20"/>
          <w:color w:val="auto"/>
        </w:rPr>
      </w:pPr>
    </w:p>
    <w:p>
      <w:pPr>
        <w:jc w:val="both"/>
        <w:ind w:left="660" w:firstLine="644"/>
        <w:spacing w:after="0" w:line="258" w:lineRule="auto"/>
        <w:tabs>
          <w:tab w:leader="none" w:pos="15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Class A Ordinary Shares that is subject to the then-applicable tender offer rules under the Exchange Act (other than any odd-lot tender offer), to the extent that the cash and value of any other consideration included in the payment per Class A Ordinary Share exceeds the average of the Last Reported Sale Prices of the Class A Ordinary Shares over the ten (10) consecutive Trading Day period commencing on, and including, the Trading Day next succeeding the date such tender or exchange offer expires,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128270</wp:posOffset>
            </wp:positionV>
            <wp:extent cx="1731645" cy="377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17316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066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close of business on the 10th Trading Day immediately following, and including, the</w:t>
            </w:r>
          </w:p>
        </w:tc>
      </w:tr>
      <w:tr>
        <w:trPr>
          <w:trHeight w:val="238"/>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tc>
      </w:tr>
      <w:tr>
        <w:trPr>
          <w:trHeight w:val="4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Conversion Rate in effect immediately after the close of business on the 10th Trading Day immediately following, and including, the</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Trading Day next succeeding the Expiration Date;</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aggregate value of all cash and any other consideration (as reasonably determined by the Company in good faith) paid or payable for Class</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 Ordinary Shares purchased in such tender or exchange offer;</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number of Class A Ordinary Shares issued and outstanding immediately prior to the Expiration Date (prior to giving effect to the purchase</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all Class A Ordinary Shares accepted for purchase or exchange in such tender or exchange offer);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1</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number of Class A Ordinary Shares issued and outstanding immediately after the Expiration Date (after giving effect to the purchase of all</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A Ordinary Shares accepted for purchase or exchange in such tender or exchange offer); 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1</w:t>
            </w:r>
          </w:p>
        </w:tc>
        <w:tc>
          <w:tcPr>
            <w:tcW w:w="10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Last Reported Sale Prices of the Class A Ordinary Shares over the ten (10) consecutive Trading Day period commencing</w:t>
            </w:r>
          </w:p>
        </w:tc>
      </w:tr>
      <w:tr>
        <w:trPr>
          <w:trHeight w:val="234"/>
        </w:trPr>
        <w:tc>
          <w:tcPr>
            <w:tcW w:w="580" w:type="dxa"/>
            <w:vAlign w:val="bottom"/>
          </w:tcPr>
          <w:p>
            <w:pPr>
              <w:spacing w:after="0"/>
              <w:rPr>
                <w:sz w:val="20"/>
                <w:szCs w:val="20"/>
                <w:color w:val="auto"/>
              </w:rPr>
            </w:pPr>
          </w:p>
        </w:tc>
        <w:tc>
          <w:tcPr>
            <w:tcW w:w="10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and including, the Trading Day next succeeding the Expiration Date.</w:t>
            </w:r>
          </w:p>
        </w:tc>
      </w:tr>
      <w:tr>
        <w:trPr>
          <w:trHeight w:val="650"/>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8"/>
                <w:szCs w:val="18"/>
                <w:color w:val="auto"/>
              </w:rPr>
              <w:t>82</w:t>
            </w:r>
          </w:p>
        </w:tc>
      </w:tr>
    </w:tbl>
    <w:p>
      <w:pPr>
        <w:sectPr>
          <w:pgSz w:w="11900" w:h="16838" w:orient="portrait"/>
          <w:cols w:equalWidth="0" w:num="1">
            <w:col w:w="11240"/>
          </w:cols>
          <w:pgMar w:left="320" w:top="337" w:right="339" w:bottom="1440" w:gutter="0" w:footer="0" w:header="0"/>
        </w:sectPr>
      </w:pPr>
    </w:p>
    <w:bookmarkStart w:id="91" w:name="page92"/>
    <w:bookmarkEnd w:id="9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14.05(e) shall occur at the close of business on the 10th Trading Day immediately following, and including, the Trading Day next succeeding the Expiration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(x) in respect of any conversion of Notes for which Physical Settlement is applicable, if the relevant Conversion Date occurs during the 10 Trading Days immediately following, and including, the Trading Day next succeeding the Expiration Date, references to “10” or “10th” in the preceding paragraph shall be deemed replaced with such lesser number of Trading Days as have elapsed from, and including, the Trading Day next succeeding such Expiration Date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any Expiration Date, references to “10” or “10th” in the preceding paragraph shall be deemed replaced with such lesser number of Trading Days as have elapsed from, and including, the Trading Day next succeeding such Expiration Date of such tender or exchange offer to, and including, such Trading Day in determining the Conversion Rate as of such Trading Day.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Class A Ordinary Shares in such tender or exchange offer are rescinded, the applicable Conversion Rate will be readjusted to the Conversion Rate that would then be in effect had the adjustment been made on the basis of only the purchases or exchanges of the Class A Ordinary Shares, if any, actually made, and not rescinded, in such tender or exchange offer.</w:t>
      </w:r>
    </w:p>
    <w:p>
      <w:pPr>
        <w:spacing w:after="0" w:line="179" w:lineRule="exact"/>
        <w:rPr>
          <w:sz w:val="20"/>
          <w:szCs w:val="20"/>
          <w:color w:val="auto"/>
        </w:rPr>
      </w:pPr>
    </w:p>
    <w:p>
      <w:pPr>
        <w:jc w:val="both"/>
        <w:ind w:firstLine="644"/>
        <w:spacing w:after="0" w:line="259" w:lineRule="auto"/>
        <w:tabs>
          <w:tab w:leader="none" w:pos="8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Class A Ordinary Shares as of the related Conversion Date as described under Section</w:t>
      </w:r>
      <w:r>
        <w:rPr>
          <w:rFonts w:ascii="Times New Roman" w:cs="Times New Roman" w:eastAsia="Times New Roman" w:hAnsi="Times New Roman"/>
          <w:sz w:val="18"/>
          <w:szCs w:val="18"/>
          <w:b w:val="1"/>
          <w:bCs w:val="1"/>
          <w:color w:val="auto"/>
        </w:rPr>
        <w: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14.02(h) based on an adjusted Conversion Rate for such Ex-Dividend Date, then, notwithstanding the Conversion Rate adjustment provisions in</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the Conversion Rate adjustment relating to such Ex-Dividend Date shall not be made for such converting Holder. Instead, such Holder shall be treated as if such Holder were the record owner of Class A Ordinary Shares on an unadjusted basis and participate in the related dividend, distribution or other event giving rise to such adjustment.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Company will not be required to adjust the Conversion Rate unless such adjustment would require an increase or decrease of at least one percent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minor adjustments that are not required to be made will be carried forward and taken into account in any subsequent adjustment,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adjustment of less than one percent (1%) that has not been made shall be made upon the occurrence of (i) the Effective Date for any Fundamental Change or Make-Whole Fundamental Change and (ii) in the case of any Note to which Physical Settlement applies, the relevant Conversion Date, and, in the case of any Note to which Cash Settlement or Combination Settlement applies, each Trading Day of the applicable Observation Period. In addition, the Company shall not account for such deferrals when determining what number of Class A Ordinary Shares a Holder would have held on a given day had it converted its Notes (collectively, the “</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2" w:name="page93"/>
    <w:bookmarkEnd w:id="92"/>
    <w:p>
      <w:pPr>
        <w:jc w:val="both"/>
        <w:ind w:left="-460" w:firstLine="644"/>
        <w:spacing w:after="0" w:line="266" w:lineRule="auto"/>
        <w:tabs>
          <w:tab w:leader="none" w:pos="4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Class A Ordinary Shares or any securities convertible into or exchangeable for Class A Ordinary Shares or the right to purchase Class A Ordinary Shares or such convertible or exchangeable securities.</w:t>
      </w:r>
    </w:p>
    <w:p>
      <w:pPr>
        <w:spacing w:after="0" w:line="171"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4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and to the extent permitted by applicable law and subject to the applicable rules of the Nasdaq Capital Market and any other securities exchange on which any securities of the Company are then listed, the Company may increase the Conversion Rate by any amount for a period of at least twenty (20) Business Days if the Company determines that such increase would be in the Company’s best interest, and the Company may (but is not required to) increase the Conversion Rate to avoid or diminish any income tax to holders of Class A Ordinary Shares or rights to purchase Class A Ordinary Shares in connection with a dividend or distribution of Class A Ordinary Shares (or rights to acquire Class A Ordinary Shares) or similar event.</w:t>
      </w:r>
    </w:p>
    <w:p>
      <w:pPr>
        <w:spacing w:after="0" w:line="182"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the Conversion Rate shall not be adjusted:</w:t>
      </w:r>
    </w:p>
    <w:p>
      <w:pPr>
        <w:spacing w:after="0" w:line="229"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Class A Ordinary Shares at a price below the Conversion Price or otherwise, other than any such</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14.05(a),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14.05(b),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14.05(c) or Section 14.05(e);</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9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Class A Ordinary Shares pursuant to any present or future plan providing for the reinvestment of dividends or interest payable on the Company’s securities and the investment of additional optional amounts in Class A Ordinary Shares under any plan;</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4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Class A Ordinary Shares or options or rights to purchase those shares pursuant to any present or future employee, director or consultant benefit plan or program (including pursuant to any evergreen plan) of or assumed by the Company or any of the Company’s Subsidiaries;</w:t>
      </w:r>
    </w:p>
    <w:p>
      <w:pPr>
        <w:spacing w:after="0" w:line="175"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any Class A Ordinary Shares pursuant to an open-market share repurchase program or other buyback</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that is not a tender offer or exchange offer of the nature 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14.05(e);</w:t>
      </w:r>
    </w:p>
    <w:p>
      <w:pPr>
        <w:spacing w:after="0" w:line="206"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third-party tender offer by any party other than a tender offer by one or more of the Company’s Subsidiaries as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14.05(e);</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6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Class A Ordinary Shares pursuant any option, warrant, right or exercisable, exchangeable or convertible security not described in clause (iii) of this subsection and outstanding as of the date the Notes were first issued (other than any rights under a shareholder rights plan);</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3" w:name="page94"/>
    <w:bookmarkEnd w:id="93"/>
    <w:p>
      <w:pPr>
        <w:ind w:left="2300" w:hanging="348"/>
        <w:spacing w:after="0"/>
        <w:tabs>
          <w:tab w:leader="none" w:pos="2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Class A Ordinary Shares; or</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21"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shall be made by the Company and all calculations of the Conversion Rate shall be made to the nearest one-ten thousandth (1/10,000th) of a share.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and for the avoidance of doubt, neither the Trustee nor the Conversion Agent shall have any liability or responsibility for the Conversion Rate, the calculation thereof or application thereof.</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the number of Class A Ordinary Shares at any time outstanding shall not include Class A Ordinary Shares held in the treasury of the Company so long as the Company does not pay any dividend or make any distribution on the Class A Ordinary Shares held in the treasury of the Company, but shall include Class A Ordinary Shares issuable in respect of scrip certificates issued in lieu of fractions of Class A Ordinary Shares.</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Adjustments of Prices.</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the Daily VWAPs, the Daily Conversion Values or the Daily Settlement Amounts, the Share Price for purposes of a Make-Whole Fundamental Change or the Redemption Reference Price for purposes of a Redemption over a span of multiple days, the Company shall make appropriate adjustments in good faith and in a commercially reasonable manner to each to account for any adjustment to the Conversion Rate that becomes effective, or any event requiring an adjustment to the Conversion Rate where the Ex-Dividend Date, Effective Date or Expiration Date, as the case may be, of the event occurs, at any time during the period when such Last Reported Sale Prices, the Daily VWAPs, the Daily Conversion Values or the Daily Settlement Amounts or Share Prices are to be calculated.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Shares To Be Fully Paid.</w:t>
      </w:r>
      <w:r>
        <w:rPr>
          <w:rFonts w:ascii="Times New Roman" w:cs="Times New Roman" w:eastAsia="Times New Roman" w:hAnsi="Times New Roman"/>
          <w:sz w:val="18"/>
          <w:szCs w:val="18"/>
          <w:color w:val="auto"/>
        </w:rPr>
        <w:t xml:space="preserve"> The Company shall provide, free from preemptive rights, out of its authorized but unissued shares or shares held in treasury, sufficient Class A Ordinary Shares to provide for conversion of the Notes from time to time as such Notes are presented for conversion (assuming delivery of the maximum number of Additional Class A Ordinary Shares pursuant to Section 14.03 and that at the time of computation of such number of shares, all such Notes would be converted by a single Holder and that Physical Settlement were applicable).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i w:val="1"/>
          <w:iCs w:val="1"/>
          <w:color w:val="auto"/>
        </w:rPr>
        <w:t>Effect of Recapitalizations, Reclassifications and Changes of the Class A Ordinary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540" w:hanging="236"/>
        <w:spacing w:after="0"/>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Class A Ordinary Shares (other than a change in par value, or from par value to no par value, or changes resulting from a subdivision or combination),</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each case, as a result of which the Class A Ordinary Shares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the Company, or the successor or acquiring company, as the case may be, will execute with the Trustee a supplemental indenture providing that,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Class A Ordinary Shares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Class A Ordinary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would have been entitled to receive) upon such Share Exchange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w:t>
      </w:r>
    </w:p>
    <w:p>
      <w:pPr>
        <w:spacing w:after="0" w:line="1" w:lineRule="exact"/>
        <w:rPr>
          <w:sz w:val="20"/>
          <w:szCs w:val="20"/>
          <w:color w:val="auto"/>
        </w:rPr>
      </w:pPr>
    </w:p>
    <w:p>
      <w:pPr>
        <w:ind w:left="300" w:hanging="292"/>
        <w:spacing w:after="0"/>
        <w:tabs>
          <w:tab w:leader="none" w:pos="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successor or acquiring company, as the case may be, shall continue to have the right to determine the form of consideration to be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delivered, as the case may be, upon conversion of Notes in accordance with Section‎ 14.02 and (B) (I) any amount payable in cash upon conversion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Notes in accordance with Section‎ 14.02 shall continue to be payable in cash, (II) any Class A Ordinary Shares that the Company would have been</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deliver upon conversion of the Notes in accordance with Section‎ 14.02 shall instead be deliverable in the amount and type of Reference Property that a holder of that number of Class A Ordinary Shares would have received in such Share Exchange Event and (III) the Daily VWAP shall be calculated based on the value of a unit of Reference Property that a holder of one Class A Ordinary Share would have received in such Share Exchange Event.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5" w:name="page96"/>
    <w:bookmarkEnd w:id="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Share Exchange Event causes the Class A Ordinary Shares to be converted into, or exchanged for, the right to receive more than a single type of consideration (determined based in part upon any form of shareholder election), then (i) the Reference Property into which the Notes will be convertible shall be deemed to be the weighted average of the types and amounts of consideration actually received by the holders of Class A Ordinary Shares. The Company shall notify Holders, the Trustee and the Conversion Agent (if other than the Trustee) in writing of such weighted average as soon as practicable after such determination is made.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in respect of any such Share Exchange Event includes, in whole or in part, shares of Common Equity or depositary receipts (or other interests) in respect thereof, the supplemental indenture providing that the Notes will be convertible into Reference Property will also</w:t>
      </w:r>
    </w:p>
    <w:p>
      <w:pPr>
        <w:jc w:val="both"/>
        <w:spacing w:after="0" w:line="251" w:lineRule="auto"/>
        <w:rPr>
          <w:sz w:val="20"/>
          <w:szCs w:val="20"/>
          <w:color w:val="auto"/>
        </w:rPr>
      </w:pPr>
      <w:r>
        <w:rPr>
          <w:rFonts w:ascii="Times New Roman" w:cs="Times New Roman" w:eastAsia="Times New Roman" w:hAnsi="Times New Roman"/>
          <w:sz w:val="18"/>
          <w:szCs w:val="18"/>
          <w:color w:val="auto"/>
        </w:rPr>
        <w:t>provide for anti-dilution and other adjustments that shall be as nearly equivalent as practicable to the adjustments provided for in this Article‎ 14 (it being understood that no such adjustments shall be required with respect to any portion of the Reference Property that does not consist of shares of Common Equity (however evidenced) or depositary receipts (or other interests) in respect thereof). If the Reference Property in respect of any Share Exchange Event includes shares of stock, securities or other property or assets (other than cash and/or cash equivalents) of a company other than the Company or the successor or acquiring company, as the case may be, in such Share Exchange Event, then such other company, if an Affiliate of the Company or the successor or acquiring company, shall also execute such supplemental indenture, and such supplemental indenture shall contain such additional provisions to protect the interests of the Holders, including the right of Holders to require the Company to repurchase their Notes upon a Fundamental Change pursuant to Section 15.02 and on the Specified Repurchase Date pursuant to ‎Section 15.01, as the Company in good faith reasonably considers necessary by reason of the foregoing.</w:t>
      </w:r>
    </w:p>
    <w:p>
      <w:pPr>
        <w:spacing w:after="0" w:line="189" w:lineRule="exact"/>
        <w:rPr>
          <w:sz w:val="20"/>
          <w:szCs w:val="20"/>
          <w:color w:val="auto"/>
        </w:rPr>
      </w:pPr>
    </w:p>
    <w:p>
      <w:pPr>
        <w:jc w:val="both"/>
        <w:ind w:left="660" w:firstLine="644"/>
        <w:spacing w:after="0" w:line="257" w:lineRule="auto"/>
        <w:tabs>
          <w:tab w:leader="none" w:pos="157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execution by the Company of a supplemental indenture pursuant to subsection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the Company shall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twenty days after execution thereof. Failure to deliver such notice shall not affect the legality or validity of such supplemental indenture.</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3" w:lineRule="auto"/>
        <w:tabs>
          <w:tab w:leader="none" w:pos="15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Share Exchange Event unless its terms are consistent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None of the foregoing provisions shall affect the right of a Holder to convert its Notes into cash, Class A Ordinary Shares or a combination of cash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as applicable,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14.01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prior to the effective date of such Share Exchange Event.</w:t>
      </w:r>
    </w:p>
    <w:p>
      <w:pPr>
        <w:spacing w:after="0" w:line="20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shall similarly apply to successive Share Exchange Events.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i w:val="1"/>
          <w:iCs w:val="1"/>
          <w:color w:val="auto"/>
        </w:rPr>
        <w:t>Certain Covenants.</w:t>
      </w:r>
    </w:p>
    <w:p>
      <w:pPr>
        <w:spacing w:after="0" w:line="227" w:lineRule="exact"/>
        <w:rPr>
          <w:sz w:val="20"/>
          <w:szCs w:val="20"/>
          <w:color w:val="auto"/>
        </w:rPr>
      </w:pPr>
    </w:p>
    <w:p>
      <w:pPr>
        <w:ind w:left="660" w:firstLine="644"/>
        <w:spacing w:after="0" w:line="282" w:lineRule="auto"/>
        <w:tabs>
          <w:tab w:leader="none" w:pos="15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all Class A Ordinary Shares issued upon conversion of Notes will be fully paid and non-assessable by the Company and free from all taxes, liens and charges with respect to the issue thereof.</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Class A Ordinary Shares to be provided for the purpose of conversion of Notes hereunder require registration with or approval of any governmental authority under any federal or state law before such Class A Ordinary Shares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Class A Ordinary Shares shall be listed on any national securities exchange or automated quotation system the Company will list and keep listed, so long as the Class A Ordinary Shares shall be so listed on such exchange or automated quotation system, any Class A Ordinary Shares issuable upon conversion of the Notes.</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Class A Ordinary Shares,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Class A Ordinary Shares or stock certificates or other securities or property or cash upon the surrender of any Note for the purpose of conversion or to comply with any of the duties, responsibilities or covenants of the Company contained in this Article 14. Neither the Trustee nor any other Conversion Agent shall have any duty or responsibility whatsoever to determine compliance with the conversion procedures, or to make or confirm any calculations with respect to the settlement provisions, of Section 14.02. Without limiting the generality of the foregoing, neither the Trustee nor any Conversion Agent shall be under any responsibility to determine the correctness of any provisions contained in any supplemental indenture entered into pursuant to Section 14.08 relating either to the kind or amount of shares of stock or securities or property (including cash) receivable by Holders upon the conversion of their Notes after any event referred to in such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14.08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14.01(b) has occurred that makes the Notes eligible for conversion or no longer eligible therefor until the Company has delivered to the Trustee and the Conversion Agent the notices referred to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14.01(b).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Shareholder Rights Plans.</w:t>
      </w:r>
      <w:r>
        <w:rPr>
          <w:rFonts w:ascii="Times New Roman" w:cs="Times New Roman" w:eastAsia="Times New Roman" w:hAnsi="Times New Roman"/>
          <w:sz w:val="18"/>
          <w:szCs w:val="18"/>
          <w:color w:val="auto"/>
        </w:rPr>
        <w:t xml:space="preserve"> If the Company has a shareholder rights plan in effect upon conversion of the Notes, each Class A Ordinary Shares, if any, issued upon such conversion shall be entitled to receive the appropriate number of rights, if any, and the certificates representing the Class A Ordinary Shares issued upon such conversion shall bear such legends, if any, in each case as may be provided by the terms of any such shareholder rights plan, as the same may be amended from time to time. However, if, prior to any conversion of Notes, the rights have separated from the Class A Ordinary Shares in accordance with the provisions of the applicable shareholder rights plan, the Conversion Rate shall be adjusted at the time of separation as if the Company distributed to all holders of the Distributed Property as provided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14.05(c), subject to readjustment in the event of the expiration, termination or redemption of such rights.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i w:val="1"/>
          <w:iCs w:val="1"/>
          <w:color w:val="auto"/>
        </w:rPr>
        <w:t>Exchange in Lieu of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firstLine="644"/>
        <w:spacing w:after="0" w:line="255" w:lineRule="auto"/>
        <w:tabs>
          <w:tab w:leader="none" w:pos="159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Institution(s) must agree to timely pay and/or deliver, as the case may be, in exchange for such Notes, cash, Class A Ordinary Shares or a combination of cash and Class A Ordinary Shares, at the Company’s election, that would</w:t>
      </w:r>
    </w:p>
    <w:p>
      <w:pPr>
        <w:spacing w:after="0" w:line="2"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due upon conversion as described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or such other amount agreed to by the Holder and the Designated Financial Institution(s)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If the Company makes an Exchange Election, it shall, by the close of business on the Business Day following the relevant Conversion Date, notify in writing the Trustee, the Conversion Agent (if other than the Trustee) and the Holder surrendering its Notes for conversion that the Company has made such Exchange Election and notify the Designated Financial Institution(s) of the relevant deadline for payment or delivery, as the case may be, of the Conversion Consideration and the type of Conversion Consideration to be paid and/or delivered, as the case may be.</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an Exchange Election.</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in lieu of conversion does not require such Designated Financial Institution(s) to accept any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8" w:name="page99"/>
    <w:bookmarkEnd w:id="98"/>
    <w:p>
      <w:pPr>
        <w:jc w:val="center"/>
        <w:ind w:right="640"/>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i w:val="1"/>
          <w:iCs w:val="1"/>
          <w:color w:val="auto"/>
        </w:rPr>
        <w:t>Repurchase at Option of Holders on July 6, 2029</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4"/>
        <w:spacing w:after="0" w:line="262" w:lineRule="auto"/>
        <w:tabs>
          <w:tab w:leader="none" w:pos="9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2029 (the “</w:t>
      </w:r>
      <w:r>
        <w:rPr>
          <w:rFonts w:ascii="Times New Roman" w:cs="Times New Roman" w:eastAsia="Times New Roman" w:hAnsi="Times New Roman"/>
          <w:sz w:val="18"/>
          <w:szCs w:val="18"/>
          <w:b w:val="1"/>
          <w:bCs w:val="1"/>
          <w:color w:val="auto"/>
        </w:rPr>
        <w:t>Specified Repurchase Date</w:t>
      </w:r>
      <w:r>
        <w:rPr>
          <w:rFonts w:ascii="Times New Roman" w:cs="Times New Roman" w:eastAsia="Times New Roman" w:hAnsi="Times New Roman"/>
          <w:sz w:val="18"/>
          <w:szCs w:val="18"/>
          <w:color w:val="auto"/>
        </w:rPr>
        <w:t>”), each Holder shall have the right, at such Holder’s option, to require the Company to repurchase for cash all of such Holder’s Notes (the “</w:t>
      </w:r>
      <w:r>
        <w:rPr>
          <w:rFonts w:ascii="Times New Roman" w:cs="Times New Roman" w:eastAsia="Times New Roman" w:hAnsi="Times New Roman"/>
          <w:sz w:val="18"/>
          <w:szCs w:val="18"/>
          <w:b w:val="1"/>
          <w:bCs w:val="1"/>
          <w:color w:val="auto"/>
        </w:rPr>
        <w:t>Specified Repurchase</w:t>
      </w:r>
      <w:r>
        <w:rPr>
          <w:rFonts w:ascii="Times New Roman" w:cs="Times New Roman" w:eastAsia="Times New Roman" w:hAnsi="Times New Roman"/>
          <w:sz w:val="18"/>
          <w:szCs w:val="18"/>
          <w:color w:val="auto"/>
        </w:rPr>
        <w:t>”), or any portion of the principal amount thereof that is equal to $1,000 or an integral multiple of $1,000, at a repurchase price equal to 100% of the principal amount thereof, plus accrued and unpaid interest thereon, if any, to but excluding, the Specified Repurchase Date (the “</w:t>
      </w:r>
      <w:r>
        <w:rPr>
          <w:rFonts w:ascii="Times New Roman" w:cs="Times New Roman" w:eastAsia="Times New Roman" w:hAnsi="Times New Roman"/>
          <w:sz w:val="18"/>
          <w:szCs w:val="18"/>
          <w:b w:val="1"/>
          <w:bCs w:val="1"/>
          <w:color w:val="auto"/>
        </w:rPr>
        <w:t>Specified Repurchase Date Repurchase Price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15.01 shall be made, at the option of the Holder thereof, upon:</w:t>
      </w:r>
    </w:p>
    <w:p>
      <w:pPr>
        <w:spacing w:after="0" w:line="221" w:lineRule="exact"/>
        <w:rPr>
          <w:rFonts w:ascii="Times New Roman" w:cs="Times New Roman" w:eastAsia="Times New Roman" w:hAnsi="Times New Roman"/>
          <w:sz w:val="18"/>
          <w:szCs w:val="18"/>
          <w:color w:val="auto"/>
        </w:rPr>
      </w:pPr>
    </w:p>
    <w:p>
      <w:pPr>
        <w:jc w:val="both"/>
        <w:ind w:left="640" w:firstLine="652"/>
        <w:spacing w:after="0" w:line="262" w:lineRule="auto"/>
        <w:tabs>
          <w:tab w:leader="none" w:pos="15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Specified Repurchase Date Repurchase Notice</w:t>
      </w:r>
      <w:r>
        <w:rPr>
          <w:rFonts w:ascii="Times New Roman" w:cs="Times New Roman" w:eastAsia="Times New Roman" w:hAnsi="Times New Roman"/>
          <w:sz w:val="18"/>
          <w:szCs w:val="18"/>
          <w:color w:val="auto"/>
        </w:rPr>
        <w:t xml:space="preserve">”) in the form set forth in Attachment 3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the Notes are Physical Notes, or in compliance with the Depositary’s Applicable Procedures for surrendering interests in Global Notes, if the Notes are Global Notes, in each case on or before the close of business on the second Business Day immediately preceding the Specified Repurchase Date; and</w:t>
      </w:r>
    </w:p>
    <w:p>
      <w:pPr>
        <w:spacing w:after="0" w:line="180"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Specified Repurchase Date Repurchase Notice (together with all necessary endorsements for transfer) at the Corporate Trust Office of the Paying Agent, or book-entry transfer of the Notes, if the Notes are Global Notes, in compliance with the Applicable Procedures of the Depositary, in each case such delivery being a condition to receipt by the Holder of the Specified Repurchase Date Repurchase Price therefor.</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Specified Repurchase Date Repurchase Notice in respect of any Notes to be repurchased that are Physical Notes shall state:</w:t>
      </w:r>
    </w:p>
    <w:p>
      <w:pPr>
        <w:spacing w:after="0" w:line="225" w:lineRule="exact"/>
        <w:rPr>
          <w:sz w:val="20"/>
          <w:szCs w:val="20"/>
          <w:color w:val="auto"/>
        </w:rPr>
      </w:pPr>
    </w:p>
    <w:p>
      <w:pPr>
        <w:ind w:left="1500" w:hanging="208"/>
        <w:spacing w:after="0"/>
        <w:tabs>
          <w:tab w:leader="none" w:pos="1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Holders must surrender their Notes in accordance with the Applicable Procedures.</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9" w:name="page100"/>
    <w:bookmarkEnd w:id="99"/>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Specified Repurchase Date Repurchase Notice contemplated by this Section 15.01 shall have the right to withdraw, in whole or in part, such Specified Repurchase Date Repurchase Notice at any time prior to the close of business on the second Business Day immediately preceding the Specified Repurchase Date Repurchase Date by delivery of a written notice of withdrawal to the Paying Agent in accordance with Section 15.03.</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The Paying Agent (if other than the Company) shall promptly notify the Company of the receipt by it of any Specified Repurchase Date Repurchase Notice or written notice of withdrawal thereof.</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No Specified Repurchase Date Repurchase Notice with respect to any Notes may be surrendered by a Holder thereof if such Holder has also surrendered a Specified Repurchase Date Repurchase Notice and has not validly withdrawn such Specified Repurchase Date Repurchase Notice in accordance with Section 15.03.</w:t>
      </w:r>
    </w:p>
    <w:p>
      <w:pPr>
        <w:spacing w:after="0" w:line="176" w:lineRule="exact"/>
        <w:rPr>
          <w:sz w:val="20"/>
          <w:szCs w:val="20"/>
          <w:color w:val="auto"/>
        </w:rPr>
      </w:pPr>
    </w:p>
    <w:p>
      <w:pPr>
        <w:jc w:val="both"/>
        <w:ind w:left="660" w:firstLine="644"/>
        <w:spacing w:after="0" w:line="258" w:lineRule="auto"/>
        <w:tabs>
          <w:tab w:leader="none" w:pos="15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prior to the Specified Repurchase Date, the Company shall provide to all Holders, the Trustee, the Conversion Agent (if other than the Trustee) and the Paying Agent (if other than the Trustee) the Specified Repurchase Date Repurchase Notice of the Specified Repurchase Date and of the repurchase right at the option of the Holders arising as a result thereof. In the case of Physical Notes, such notice shall be by first class mail or, in the case of Global Notes, such notice shall be delivered in accordance with the Applicable Procedures. Each Specified Repurchase Date Repurchase Notice shall specify:</w:t>
      </w:r>
    </w:p>
    <w:p>
      <w:pPr>
        <w:spacing w:after="0" w:line="183"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Section‎ 15.01;</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Repurchase Date Repurchase Price;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Repurchase Date;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the Conversion Agent and the Paying Agent;</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such notice, the Company will publish a notice containing this information on its website or through such other public medium as the Company may use at that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 and no defect therein shall limit the Holders’ repurchase rights or affect the validity of the proceedings for the repurchase of the Notes pursuant to this Section 15.01.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request given at least five (5)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Specified Repurchase Date Repurchase Notice shall be prepared by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no Notes may be repurchased by the Company on the Specified Repurchase Date if the principal amount of the Notes has been accelerated, and such acceleration has not been rescinded, on or prior to such date (except in the case of an acceleration resulting from a Default by the Company in the payment of the Specified Repurchase Date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Specified Repurchase Date Repurchase Price with respect to such Notes), or any instructions for book-entry transfer of the Notes in compliance with the Applicable Procedures of the Depositary shall be deemed to have been cancelled, and, upon such return or cancellation, as the case may be, the Specified Repurchase Date Repurchase Notice with respect thereto shall be deemed to have been withdrawn.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i w:val="1"/>
          <w:iCs w:val="1"/>
          <w:color w:val="auto"/>
        </w:rPr>
        <w:t>Repurchase at Option of Holders Upon a Fundamental 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4"/>
        <w:spacing w:after="0" w:line="252" w:lineRule="auto"/>
        <w:tabs>
          <w:tab w:leader="none" w:pos="15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(other than an Exempted Fundamental Change) occurs at any time, each Holder shall have the right, at such Holder’s option, to require the Company to repurchase for cash all of such Holder’s Notes, or any portion of the principal amount thereof that is equal to $1,000 or an integral multiple of $1,000, on the Business Day notified in writing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by the Company that is not less than twenty (20) Business Days or more than thirty-five (35) Business Days following the date of the Fundamental Change 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if any,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w:t>
      </w:r>
    </w:p>
    <w:p>
      <w:pPr>
        <w:spacing w:after="0" w:line="6"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100% of the principal amount of Notes to be repurchased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15.02. The Fundamental Change Repurchase Date will be subject to postponement to comply with applicable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ind w:left="1560" w:hanging="256"/>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221" w:lineRule="exact"/>
        <w:rPr>
          <w:rFonts w:ascii="Times New Roman" w:cs="Times New Roman" w:eastAsia="Times New Roman" w:hAnsi="Times New Roman"/>
          <w:sz w:val="18"/>
          <w:szCs w:val="18"/>
          <w:color w:val="auto"/>
        </w:rPr>
      </w:pPr>
    </w:p>
    <w:p>
      <w:pPr>
        <w:jc w:val="both"/>
        <w:ind w:left="1300" w:firstLine="652"/>
        <w:spacing w:after="0" w:line="262" w:lineRule="auto"/>
        <w:tabs>
          <w:tab w:leader="none" w:pos="216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in the form set forth in Attachment 2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the Notes are Physical Notes, or in compliance with the Depositary’s Applicable Procedures for surrendering interests in Global Notes, if the Notes are Global Notes, in each case on or before the close of business on the second Business Day immediately preceding the Fundamental Change Repurchase Date; and</w:t>
      </w:r>
    </w:p>
    <w:p>
      <w:pPr>
        <w:spacing w:after="0" w:line="180"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being a condition to receipt by the Holder of the Fundamental Change Repurchase Price therefor.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Notes to be repurchased that are Physical Notes shall state:</w:t>
      </w:r>
    </w:p>
    <w:p>
      <w:pPr>
        <w:spacing w:after="0" w:line="225" w:lineRule="exact"/>
        <w:rPr>
          <w:sz w:val="20"/>
          <w:szCs w:val="20"/>
          <w:color w:val="auto"/>
        </w:rPr>
      </w:pPr>
    </w:p>
    <w:p>
      <w:pPr>
        <w:ind w:left="2160" w:hanging="208"/>
        <w:spacing w:after="0"/>
        <w:tabs>
          <w:tab w:leader="none" w:pos="2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Holders must surrender their Notes in accordance with the Applicable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second Business Day immediately preceding the Fundamental Change Repurchase Date by delivery of a written notice of withdrawal to the Paying Agent in accordance with Section 15.03.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Paying Agent (if other than the Company) shall promptly notify the Company of the receipt by it of any Fundamental Change Repurchase Notice or written notice of withdrawal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Fundamental Change Repurchase Notice with respect to any Notes may be surrendered by a Holder thereof if such Holder has also surrendered a Fundamental Change Repurchase Notice and has not validly withdrawn such Fundamental Change Repurchase Notice in accordance with Section 15.03.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both"/>
        <w:ind w:left="660" w:firstLine="644"/>
        <w:spacing w:after="0" w:line="256" w:lineRule="auto"/>
        <w:tabs>
          <w:tab w:leader="none" w:pos="15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after the occurrence of the effective date of a Fundamental Change, the Company shall provide to all Holders, the Trustee, the Conversion Agent (if other than the Trustee) and the Paying Agent (if other than the Trustee) a written notice (the “</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of the occurrence of the effective date of the Fundamental Change and of the resulting repurchase right at the option of the Holders arising as a result thereof. In the case of Physical Notes, such notice shall be by first class mail or, in the case of Global Notes, such notice shall be delivered in accordance with the Applicable Procedures. Each Fundamental Change Company Notice shall specify:</w:t>
      </w:r>
    </w:p>
    <w:p>
      <w:pPr>
        <w:spacing w:after="0" w:line="187"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22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15.02;</w:t>
      </w:r>
    </w:p>
    <w:p>
      <w:pPr>
        <w:spacing w:after="0" w:line="22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the Paying Agent and the Conversion Agent;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0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 as a result of the Fundamental Change (or related Make-Whole Fundamental Change);</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36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such notice, the Company will publish a notice containing this information on its website or through such other public medium as the Company may use at that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 Notwithstanding the foregoing, the Company will not be required to repurchase, or to make an offer to repurchase, the Notes upon the occurrence of a Fundamental Change if a third party makes such an offer in the same manner, at the same time, for the same or greater price and otherwise is in compliance with the requirements for an offer made by the Company as set forth above, and such third party purchases all Notes properly surrendered and not validly withdrawn under its offer in the same manner, at the same time, and for the same or greater price and otherwise is in compliance with the requirements for an offer made by the Company as set forth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request given at least five (5)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76" w:lineRule="exact"/>
        <w:rPr>
          <w:sz w:val="20"/>
          <w:szCs w:val="20"/>
          <w:color w:val="auto"/>
        </w:rPr>
      </w:pPr>
    </w:p>
    <w:p>
      <w:pPr>
        <w:jc w:val="both"/>
        <w:ind w:left="660" w:firstLine="644"/>
        <w:spacing w:after="0" w:line="261" w:lineRule="auto"/>
        <w:tabs>
          <w:tab w:leader="none" w:pos="157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15.02, the Company will not be required to send a Fundamental Change Company Notice, or offer to repurchase or repurchase any Notes in connection with a Fundamental Change occurring pursuant to clause (2)(A) or</w:t>
      </w:r>
    </w:p>
    <w:p>
      <w:pPr>
        <w:ind w:left="660" w:hanging="4"/>
        <w:spacing w:after="0" w:line="260" w:lineRule="auto"/>
        <w:tabs>
          <w:tab w:leader="none" w:pos="97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Fundamental Change (or, for the avoidance of doubt, pursuant to clause (1) of the definition that also constitutes a Fundamental Change occurring pursuant to clause (2)(A) or (B) of the definition thereof), if:</w:t>
      </w:r>
    </w:p>
    <w:p>
      <w:pPr>
        <w:spacing w:after="0" w:line="181" w:lineRule="exact"/>
        <w:rPr>
          <w:rFonts w:ascii="Times New Roman" w:cs="Times New Roman" w:eastAsia="Times New Roman" w:hAnsi="Times New Roman"/>
          <w:sz w:val="18"/>
          <w:szCs w:val="18"/>
          <w:color w:val="auto"/>
        </w:rPr>
      </w:pPr>
    </w:p>
    <w:p>
      <w:pPr>
        <w:ind w:left="1300" w:firstLine="652"/>
        <w:spacing w:after="0" w:line="282" w:lineRule="auto"/>
        <w:tabs>
          <w:tab w:leader="none" w:pos="2163"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Fundamental Change constitutes a Share Exchange Event for which the resulting Reference Property consists entirely of cash in U.S. dollars;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Fundamental Change, the Notes become convertible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w:t>
      </w:r>
    </w:p>
    <w:p>
      <w:pPr>
        <w:spacing w:after="0" w:line="179"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timely sends the notice relating to Make-Whole Fundamental Change required pursuant to Section 14.01(b)</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Fundamental Change with respect to which, in accordance with the provisions described in this Section 15.02(d), the Company does not offer to repurchase any Notes is referred to herein as an “</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4"/>
        <w:spacing w:after="0" w:line="254" w:lineRule="auto"/>
        <w:tabs>
          <w:tab w:leader="none" w:pos="157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i w:val="1"/>
          <w:iCs w:val="1"/>
          <w:color w:val="auto"/>
        </w:rPr>
        <w:t>Withdrawal of Fundamental Change Repurchase Notice or Specified Repurchase Date Repurchase Notice.</w:t>
      </w:r>
      <w:r>
        <w:rPr>
          <w:rFonts w:ascii="Times New Roman" w:cs="Times New Roman" w:eastAsia="Times New Roman" w:hAnsi="Times New Roman"/>
          <w:sz w:val="18"/>
          <w:szCs w:val="18"/>
          <w:color w:val="auto"/>
        </w:rPr>
        <w:t xml:space="preserve"> A Fundamental Change Repurchase Notice or Specified Repurchase Date Repurchase Notice may be withdrawn (in whole or in part) in respect of Physical Notes by means of a written notice of withdrawal delivered to the Corporate Trust Office of the Paying Agent in accordance with this Section 15.03 at any time prior to the close of business on the second Business Day immediately preceding the Fundamental Change Repurchase Date or the Specified Repurchase Date, as applicable, specifying:</w:t>
      </w:r>
    </w:p>
    <w:p>
      <w:pPr>
        <w:spacing w:after="0" w:line="185" w:lineRule="exact"/>
        <w:rPr>
          <w:sz w:val="20"/>
          <w:szCs w:val="20"/>
          <w:color w:val="auto"/>
        </w:rPr>
      </w:pPr>
    </w:p>
    <w:p>
      <w:pPr>
        <w:ind w:left="1300" w:right="20" w:firstLine="652"/>
        <w:spacing w:after="0" w:line="282" w:lineRule="auto"/>
        <w:tabs>
          <w:tab w:leader="none" w:pos="21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in respect of which such notice of withdrawal is being submitted;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7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or Specified Repurchase Date Repurchase Notice, which portion must be in principal amounts of $1,000 or an integral multiple of $1,000;</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Holders must withdraw the relevant Fundamental Change Repurchase Notice or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Date Repurchase Notice, as applicable, in accordance with the Applicable Procedures.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Deposit of Fundamental Change Repurchase Price.</w:t>
      </w:r>
      <w:r>
        <w:rPr>
          <w:rFonts w:ascii="Times New Roman" w:cs="Times New Roman" w:eastAsia="Times New Roman" w:hAnsi="Times New Roman"/>
          <w:sz w:val="18"/>
          <w:szCs w:val="18"/>
          <w:color w:val="auto"/>
        </w:rPr>
        <w:t xml:space="preserve"> i)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or Specified Repurchase Date Repurchase Price, as applicable, an amount of money sufficient to repurchase all of the Notes to be repurchased at the appropriate Fundamental Change Repurchase Price or Specified Repurchase Date Repurchase Price, as applicable.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or the Specified Repurchase Date, as applicable)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or the Specified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15.01), as applicable, and (ii) the time of book-entry transfer or the delivery of such Note to the Trustee (or other Paying Agent appointed by the Company) by the Holder thereof in the manner required by Section 15.01 or Section 15.02, as applicable, or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 or Specified Repurchase Date Repurchase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5" w:name="page106"/>
    <w:bookmarkEnd w:id="105"/>
    <w:p>
      <w:pPr>
        <w:jc w:val="both"/>
        <w:ind w:left="660" w:firstLine="644"/>
        <w:spacing w:after="0" w:line="253" w:lineRule="auto"/>
        <w:tabs>
          <w:tab w:leader="none" w:pos="15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or Specified Repurchase Date, as applicable, the Trustee (or other Paying Agent appointed by the Company) holds money sufficient to make payment on all the Notes or portions thereof that are to be repurchased on such Fundamental Change Repurchase Date or Specified Repurchase Date, as applicable, then, with respect to the Notes that have been properly surrendered for repurchase to the Paying Agent and not validly withdrawn, (i) such Notes will cease to be outstanding, (ii) interest will cease to accrue on such Notes (whether or not book-entry transfer of the Notes has been made or the Notes have been delivered to the Trustee), and (iii) all other rights of the Holders of such Notes will terminate (other than the right to receive the Fundamental Change Repurchase Price or the Specified Repurchase Date Repurchase Price, as applicable, and, if the Fundamental Change Repurchase Date or the Specified Repurchase Date, as applicable, falls after a Regular Record Date but on or prior to the Business Day immediately following the corresponding Interest Payment Date to which such Regular Record Date relates, accrued and unpaid interest payable to the Holders as of such Regular Record Date).</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15.01 or Section 15.02, as applicable,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pursuant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Repurchase Date Repurchase Notice or Fundamental Change Repurchase Notice, the Company will, if required:</w:t>
      </w:r>
    </w:p>
    <w:p>
      <w:pPr>
        <w:spacing w:after="0" w:line="207" w:lineRule="exact"/>
        <w:rPr>
          <w:sz w:val="20"/>
          <w:szCs w:val="20"/>
          <w:color w:val="auto"/>
        </w:rPr>
      </w:pPr>
    </w:p>
    <w:p>
      <w:pPr>
        <w:ind w:left="1540" w:hanging="236"/>
        <w:spacing w:after="0"/>
        <w:tabs>
          <w:tab w:leader="none" w:pos="1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tender offer rules under the Exchange Act that may then be applicable;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federal and state securities laws in connection with any offer by the Company to repurchase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to the extent that provisions of any federal or state securities laws or other applicable laws or regulations adopted after the date on which the Notes are first issued conflict with the provisions of this Indenture relating to the Company’s obligations to repurchase the Notes upon a Fundamental Change or the Specified Repurchase, the Company shall comply with the applicable securities laws and regulations and will not be deemed to have breached its obligations under such provisions of this Indenture by virtue of such conflict.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center"/>
        <w:ind w:right="640"/>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leanup</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 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4"/>
        <w:spacing w:after="0" w:line="253" w:lineRule="auto"/>
        <w:tabs>
          <w:tab w:leader="none" w:pos="8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sinking fund is provided for the Notes. Except in the case of a Cleanup Redemption or a Tax Redemption, the Notes shall not be redeemable by the Company prior to July 6, 2028. On or after July 6, 2028 and prior to the 41st scheduled Trading Day immediately preceding the Maturity Date, the Company may redeem for cash all or any portion of the Notes (subject to the Partial Redemption Limitation), at the Redemption Price, if (i) the Liquidity Conditions are satisfied in accordance with the definition thereof and (ii) the Last Reported Sale Price of the Class A Ordinary Shares has been at least 140% of the Conversion Price then in effect for at least twenty (20) Trading Days (whether or not consecutive) during any thirty (30) consecutive Trading Day period (including the last Trading Day of such period) ending on, and including, the Trading Day immediately preceding the date on which the Company provides the Optional Redemption Notice in accordance with this Section</w:t>
      </w:r>
      <w:r>
        <w:rPr>
          <w:rFonts w:ascii="Times New Roman" w:cs="Times New Roman" w:eastAsia="Times New Roman" w:hAnsi="Times New Roman"/>
          <w:sz w:val="18"/>
          <w:szCs w:val="18"/>
          <w:b w:val="1"/>
          <w:bCs w:val="1"/>
          <w:color w:val="auto"/>
        </w:rPr>
        <w:t>‎</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16.01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may not redeem less than all of the outstanding Notes for Optional Redemption unless at least $75,000,000 aggregate principal amount of Notes are outstanding and not called for redemption as of the time the Company sends the related Optional Redemption Notice and after giving effect to the delivery of such Optional Redemption Notice (such limitation, a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90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exercises its Optional Redemption right to redeem all or, as the case may be, any part of the Notes pursuant to Section 16.01, it shall fix a date for Optional Redemption (each, an “</w:t>
      </w:r>
      <w:r>
        <w:rPr>
          <w:rFonts w:ascii="Times New Roman" w:cs="Times New Roman" w:eastAsia="Times New Roman" w:hAnsi="Times New Roman"/>
          <w:sz w:val="18"/>
          <w:szCs w:val="18"/>
          <w:b w:val="1"/>
          <w:bCs w:val="1"/>
          <w:color w:val="auto"/>
        </w:rPr>
        <w:t>Optional Redemption Date</w:t>
      </w:r>
      <w:r>
        <w:rPr>
          <w:rFonts w:ascii="Times New Roman" w:cs="Times New Roman" w:eastAsia="Times New Roman" w:hAnsi="Times New Roman"/>
          <w:sz w:val="18"/>
          <w:szCs w:val="18"/>
          <w:color w:val="auto"/>
        </w:rPr>
        <w:t>”) and it or, at its written request received by the Trustee not less than five (5) Business Days prior to the date such Optional Redemption Notice is to be sent (or such shorter period of time as may be acceptable to the Trustee), the Trustee, in the name of and at the expense of the Company, shall deliver or cause to be delivered a notice of such Optional Redemption (an “</w:t>
      </w:r>
      <w:r>
        <w:rPr>
          <w:rFonts w:ascii="Times New Roman" w:cs="Times New Roman" w:eastAsia="Times New Roman" w:hAnsi="Times New Roman"/>
          <w:sz w:val="18"/>
          <w:szCs w:val="18"/>
          <w:b w:val="1"/>
          <w:bCs w:val="1"/>
          <w:color w:val="auto"/>
        </w:rPr>
        <w:t>Optional Redemption Notice</w:t>
      </w:r>
      <w:r>
        <w:rPr>
          <w:rFonts w:ascii="Times New Roman" w:cs="Times New Roman" w:eastAsia="Times New Roman" w:hAnsi="Times New Roman"/>
          <w:sz w:val="18"/>
          <w:szCs w:val="18"/>
          <w:color w:val="auto"/>
        </w:rPr>
        <w:t>”) not less than forty-five (45) nor more than sixty (60) Scheduled Trading Days prior to the Optional Redemption Date to each Holder of Notes so to be redeemed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if the Company elects Physical Settlement for conversions of Called Notes during the related Redemption Period, the Company may not provide less than ten (10) Business Days’ nor more than thirty (30) Business Days’ notice before the applicable Optional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shall give such notice, it shall also give written notice of the Optional Redemption Date to the Trustee, the Conversion Agent (if other than the Trustee) and the Paying Agent (if other than the Trustee). The Optional Redemption Date must be a Business Day, and the Company may not specify an Optional Redemption Date that falls on or after the 41st Scheduled Trading Day immediately preceding the Maturity Date.</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Redemption Notice, if delivered in the manner herein provided, shall be conclusively presumed to have been duly given, whether or not the Holder receives such notice. In any case, failure to give such Optional Redemption Notice by mail or any defect in the Optional Redemption Notice to the Holder of any Note designated for Optional Redemption as a whole or in part shall not affect the validity of the proceedings for the Optional Redemption of any other Note.</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7" w:name="page108"/>
    <w:bookmarkEnd w:id="107"/>
    <w:p>
      <w:pPr>
        <w:ind w:left="1560" w:hanging="256"/>
        <w:spacing w:after="0"/>
        <w:tabs>
          <w:tab w:leader="none" w:pos="15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Optional Redemption Notice shall specify:</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Redemption Date;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Optional Redemption Date, the Redemption Price will become due and payable upon each Note to be redeemed, and that interest thereon, if any, shall cease to accrue on and after the Optional Redemption Date;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Conversion Agent;</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and Specified Dollar Amount, if applicable;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0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and, if applicable, the number of Additional Class A Ordinary Shares added to the Conversion Rate in accordance with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14.04;</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5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is to be redeemed in part only, the portion of the principal amount thereof to be redeemed and on and after the Optional Redemption Date, upon surrender of such Note, a new Note in principal amount equal to the unredeemed portion thereof shall be issued.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Optional Redemption Notice shall be irrevocable.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Simultaneously with providing the Optional Redemption Notice, the Company shall publish a notice containing the information included in the Optional Redemption Notice on the Company’s website or through such other public medium as the Company may use. The Trustee shall have no obligation to make any determination in connection with the foregoing.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fewer than all of the outstanding Notes are to be redeemed and the Notes to be redeemed are Global Notes, the Notes to be redeemed shall be selected by the Depositary in accordance with the Applicable Procedures. If fewer than all of the outstanding Notes are to be redeemed and the Notes to be redeemed are not Global Notes, the Trustee will select the Notes to be redeemed (in principal amounts of $1,000 or multiples there) by lot, on a pro rata basis (subject to rounding to the nearest $1,000 principal amount) or by other method the Trustee considers to be fair and appropriate.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Notes may be redeemed by Optional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Cleanup Redemption.</w:t>
      </w:r>
    </w:p>
    <w:p>
      <w:pPr>
        <w:spacing w:after="0" w:line="227" w:lineRule="exact"/>
        <w:rPr>
          <w:sz w:val="20"/>
          <w:szCs w:val="20"/>
          <w:color w:val="auto"/>
        </w:rPr>
      </w:pPr>
    </w:p>
    <w:p>
      <w:pPr>
        <w:jc w:val="both"/>
        <w:ind w:firstLine="644"/>
        <w:spacing w:after="0" w:line="266"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41st scheduled Trading Day immediately preceding the Maturity Date, the Company may redeem for cash all but not part of the Notes at the Redemption Price, if less than $25,000,000 aggregate principal amount of Notes remains outstanding at such time (such redemption, a “</w:t>
      </w:r>
      <w:r>
        <w:rPr>
          <w:rFonts w:ascii="Times New Roman" w:cs="Times New Roman" w:eastAsia="Times New Roman" w:hAnsi="Times New Roman"/>
          <w:sz w:val="18"/>
          <w:szCs w:val="18"/>
          <w:b w:val="1"/>
          <w:bCs w:val="1"/>
          <w:color w:val="auto"/>
        </w:rPr>
        <w:t>Cleanup Redemption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44"/>
        <w:spacing w:after="0" w:line="253" w:lineRule="auto"/>
        <w:tabs>
          <w:tab w:leader="none" w:pos="9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exercises its Cleanup Redemption right to redeem all of the Notes pursuant to Section 16.02(a), it shall fix a date for Cleanup Redemption (each, a “</w:t>
      </w:r>
      <w:r>
        <w:rPr>
          <w:rFonts w:ascii="Times New Roman" w:cs="Times New Roman" w:eastAsia="Times New Roman" w:hAnsi="Times New Roman"/>
          <w:sz w:val="18"/>
          <w:szCs w:val="18"/>
          <w:b w:val="1"/>
          <w:bCs w:val="1"/>
          <w:color w:val="auto"/>
        </w:rPr>
        <w:t>Cleanup Redemption Date</w:t>
      </w:r>
      <w:r>
        <w:rPr>
          <w:rFonts w:ascii="Times New Roman" w:cs="Times New Roman" w:eastAsia="Times New Roman" w:hAnsi="Times New Roman"/>
          <w:sz w:val="18"/>
          <w:szCs w:val="18"/>
          <w:color w:val="auto"/>
        </w:rPr>
        <w:t>”) and it or, at its written request received by the Trustee not less than five (5) Business Days prior to the date such Cleanup Redemption Notice is to be sent (or such shorter period of time as may be acceptable to the Trustee), the Trustee, in the name of and at the expense of the Company, shall deliver or cause to be delivered a notice of such Cleanup Redemption (a “</w:t>
      </w:r>
      <w:r>
        <w:rPr>
          <w:rFonts w:ascii="Times New Roman" w:cs="Times New Roman" w:eastAsia="Times New Roman" w:hAnsi="Times New Roman"/>
          <w:sz w:val="18"/>
          <w:szCs w:val="18"/>
          <w:b w:val="1"/>
          <w:bCs w:val="1"/>
          <w:color w:val="auto"/>
        </w:rPr>
        <w:t>Cleanup Redemption Notice</w:t>
      </w:r>
      <w:r>
        <w:rPr>
          <w:rFonts w:ascii="Times New Roman" w:cs="Times New Roman" w:eastAsia="Times New Roman" w:hAnsi="Times New Roman"/>
          <w:sz w:val="18"/>
          <w:szCs w:val="18"/>
          <w:color w:val="auto"/>
        </w:rPr>
        <w:t>”) not less than 45 nor more than 60 Scheduled Trading Day prior to the Cleanup Redemption Date to each Holder of Notes so to be redeemed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elects Physical Settlement for conversions of Notes called for Cleanup Redemption that occur during the related Redemption Period, the Company may not provide less than ten (10) Business Days’ nor more than thirty (30) Business Days’ notice before the applicable Cleanup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shall give such notice, it shall also give written notice of the Cleanup Redemption Date to the Trustee, the Conversion Agent (if other than the Trustee) an the Paying Agent (if other than the Trustee). The Cleanup Redemption Date must be a Business Day, and the Company may not specify a Cleanup Redemption Date that falls on or after the 41st Scheduled Trading Day immediately preceding the Maturity Date.</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Cleanup Redemption Notice, if delivered in the manner herein provided, shall be conclusively presumed to have been duly given, whether or not the Holder receives such notice. In any case, failure to give such Cleanup Redemption Notice by mail or any defect in the Cleanup Redemption Notice to the Holder of any Note designated for Cleanup Redemption as a whole or in part shall not affect the validity of the proceedings for the Cleanup Redemption of any other Note.</w:t>
      </w:r>
    </w:p>
    <w:p>
      <w:pPr>
        <w:spacing w:after="0" w:line="179"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Cleanup Redemption Notice shall specify:</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Cleanup Redemption Date;</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60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Cleanup Redemption Date, the Redemption Price will become due and payable upon each Note to be redeemed, and that interest thereon, if any, shall cease to accrue on and after the Cleanup Redemption Date;</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7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and Specified Dollar Amount, if applicable;</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5" w:right="339" w:bottom="1440" w:gutter="0" w:footer="0" w:header="0"/>
        </w:sectPr>
      </w:pPr>
    </w:p>
    <w:bookmarkStart w:id="109" w:name="page110"/>
    <w:bookmarkEnd w:id="109"/>
    <w:p>
      <w:pPr>
        <w:ind w:left="2260" w:hanging="308"/>
        <w:spacing w:after="0"/>
        <w:tabs>
          <w:tab w:leader="none" w:pos="2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Class A Ordinary Shares added to the Conversion Rate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14.04; and</w:t>
      </w:r>
    </w:p>
    <w:p>
      <w:pPr>
        <w:spacing w:after="0" w:line="206"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Cleanup Redemption Notice shall be irrevocable.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the Cleanup Redemption Notice, the Company shall publish a notice containing the information included in the Cleanup Redemption Notice on the Company’s website or through such other public medium as the Company may use.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Notes may be redeemed by Cleanup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Tax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the Company has, or on the next Interest Payment Date would, become obligated to pay to any Holder Additional Amounts as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 of:</w:t>
      </w:r>
    </w:p>
    <w:p>
      <w:pPr>
        <w:spacing w:after="0" w:line="207" w:lineRule="exact"/>
        <w:rPr>
          <w:sz w:val="20"/>
          <w:szCs w:val="20"/>
          <w:color w:val="auto"/>
        </w:rPr>
      </w:pPr>
    </w:p>
    <w:p>
      <w:pPr>
        <w:jc w:val="both"/>
        <w:ind w:left="1300" w:firstLine="652"/>
        <w:spacing w:after="0" w:line="266" w:lineRule="auto"/>
        <w:tabs>
          <w:tab w:leader="none" w:pos="216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amendment on or after the date of the Offering Memorandum (or, in the case of a jurisdiction that becomes a Relevant Taxing Jurisdiction after the date of the Offering Memorandum, on or after such later date) in the laws or any rules or regulations of a Relevant Taxing Jurisdiction; or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2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on or after the date of the Offering Memorandum (or, in the case of a jurisdiction that becomes a Relevant Taxing Jurisdiction after the date of the Offering Memorandum, on or after such later date)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announcement or publication of any judicial decision or regulatory or administrative interpretation or determination);</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Change in Tax Law</w:t>
      </w:r>
      <w:r>
        <w:rPr>
          <w:rFonts w:ascii="Times New Roman" w:cs="Times New Roman" w:eastAsia="Times New Roman" w:hAnsi="Times New Roman"/>
          <w:sz w:val="18"/>
          <w:szCs w:val="18"/>
          <w:color w:val="auto"/>
        </w:rPr>
        <w:t>”), the Company may, at its option, redeem all but not part of the Notes (except in respect of certain Holders that elect otherwise as described below) on a Tax Redemption Date before the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may only redeem the Notes if: (i) the Company cannot avoid such obligations by taking commercially reasonable measures available to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changing the jurisdiction of incorporation of the Company shall be deemed not to be a commercially reasonable measure); and (ii) the Company delivers to the Trustee an opinion of outside legal counsel of recognized standing in the Relevant Taxing Jurisdiction and an Officer’s Certificate attesting to such Change in Tax Law and obligation to pay Additional Amounts (such redemption, a “</w:t>
      </w:r>
      <w:r>
        <w:rPr>
          <w:rFonts w:ascii="Times New Roman" w:cs="Times New Roman" w:eastAsia="Times New Roman" w:hAnsi="Times New Roman"/>
          <w:sz w:val="18"/>
          <w:szCs w:val="18"/>
          <w:b w:val="1"/>
          <w:bCs w:val="1"/>
          <w:color w:val="auto"/>
        </w:rPr>
        <w:t>Tax Redemption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both"/>
        <w:ind w:left="-460" w:firstLine="644"/>
        <w:spacing w:after="0" w:line="254" w:lineRule="auto"/>
        <w:tabs>
          <w:tab w:leader="none" w:pos="4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for a Tax Redemption shall be equal to 100% of the principal amount of the Notes to be redeemed, plus accrued and unpaid interest to, but excluding, the Redemption Date, including any Additional Amounts with respect to such Redemption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Redemption Date occurs after a Regular Record Date and on or prior to the corresponding Interest Payment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 the Company shall pay on or, at the Company’s election, before the Interest Payment Date the full amount of accrued and unpaid interest, if any, due on such Interest Payment Date to the record Holder of the Notes on the Regular Record Date corresponding to such Interest Payment Date, and (ii) the Redemption Price payable to the Holder who presents a Note for the Tax Redemption shall be equal to 100% of the principal amount of such Note, including, for the avoidance of doubt, any Additional Amounts with respect to such Redemption Price, but without the accrued and unpaid interest on such Note to, but excluding, the Redemption Date. The Redemption Date must be a Business Day.</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receiving the Tax Redemption Notice, each Holder shall have the right to elect to not have its Notes redeemed, in which case the Company shall not be obligated to pay any Additional Amounts on any payment with respect to such Notes solely as a result of such Change in Tax Law that resulted in the obligation to pay such Additional Amounts (whether upon conversion, required repurchase in connection with a Fundamental Change, required repurchase on the Specified Repurchase Date, redemption, maturity or otherwise, and whether in cash, Class A Ordinary Shares, or a combination thereof, Reference Property or otherwise) after the Tax Redemption Date (or, if the Company fails to pay the Redemption Price on the Tax Redemption Date, the date on which the Redemption Price has been paid or duly provided for), and all future payments with respect to such Notes shall be subject to the deduction or withholding of such Relevant Taxing Jurisdiction and taxes required by law to be deducted or withheld as a result of such Change in Tax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 if a Holder electing not to have its Notes redeemed converts its Notes in connection with a Tax Redemption pursuant to Section 14.04, the Company shall be obligated to pay Additional Amounts, if any, with respect to such conversion.</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Procedures of the Depositary in the case of Global Notes, a Holder electing to not have its Notes so redeemed must deliver to the Company, with a copy to the Paying Agent a written notice of election so as to be received by the Company and the Paying Agent or otherwise by complying with the requirements for conversion described under Section 14.02 prior to the close of business on the second Business Day immediately preceding the Tax Redemption Date. A Holder may withdraw any such notice of election (other than such a deemed notice of election in connection with a conversion) by delivering to the Company and the Paying Agent a written notice of withdrawal prior to the close of business on the business day immediately preceding the Tax Redemption Date (or, if the Company fails to pay the Redemption Price and any Additional Amounts with respect to such Redemption Price on the Tax Redemption Date, such later date on which the Company pays the Redemption Price and any Additional Amounts with respect to such Redemption Price). If no election is made, the Holder will have its Notes redeemed without any further action.</w:t>
      </w: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1" w:name="page112"/>
    <w:bookmarkEnd w:id="111"/>
    <w:p>
      <w:pPr>
        <w:jc w:val="both"/>
        <w:ind w:left="-460" w:firstLine="644"/>
        <w:spacing w:after="0" w:line="253" w:lineRule="auto"/>
        <w:tabs>
          <w:tab w:leader="none" w:pos="43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exercises its Tax Redemption right to redeem all of the Notes pursuant to Section 16.03(a), it shall fix a date for Tax Redemption (each, a “</w:t>
      </w:r>
      <w:r>
        <w:rPr>
          <w:rFonts w:ascii="Times New Roman" w:cs="Times New Roman" w:eastAsia="Times New Roman" w:hAnsi="Times New Roman"/>
          <w:sz w:val="18"/>
          <w:szCs w:val="18"/>
          <w:b w:val="1"/>
          <w:bCs w:val="1"/>
          <w:color w:val="auto"/>
        </w:rPr>
        <w:t>Tax Redemption Date</w:t>
      </w:r>
      <w:r>
        <w:rPr>
          <w:rFonts w:ascii="Times New Roman" w:cs="Times New Roman" w:eastAsia="Times New Roman" w:hAnsi="Times New Roman"/>
          <w:sz w:val="18"/>
          <w:szCs w:val="18"/>
          <w:color w:val="auto"/>
        </w:rPr>
        <w:t>”) and it or, at its written request received by the Trustee not less than five (5) Business Days prior to the date such Tax Redemption Notice is to be sent (or such shorter period of time as may be acceptable to the Trustee), the Trustee, in the name of and at the expense of the Company, shall deliver or cause to be delivered a notice of such Tax Redemption (a “</w:t>
      </w:r>
      <w:r>
        <w:rPr>
          <w:rFonts w:ascii="Times New Roman" w:cs="Times New Roman" w:eastAsia="Times New Roman" w:hAnsi="Times New Roman"/>
          <w:sz w:val="18"/>
          <w:szCs w:val="18"/>
          <w:b w:val="1"/>
          <w:bCs w:val="1"/>
          <w:color w:val="auto"/>
        </w:rPr>
        <w:t>Tax Redemption Notice</w:t>
      </w:r>
      <w:r>
        <w:rPr>
          <w:rFonts w:ascii="Times New Roman" w:cs="Times New Roman" w:eastAsia="Times New Roman" w:hAnsi="Times New Roman"/>
          <w:sz w:val="18"/>
          <w:szCs w:val="18"/>
          <w:color w:val="auto"/>
        </w:rPr>
        <w:t>”) not less than 45 nor more than 60 Scheduled Trading Day prior to the Tax Redemption Date to each Holder of Notes so to be redeemed as a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elects Physical Settlement for conversions of Notes called for Tax Redemption that occur during the related Redemption Period, the Company may not provide less than ten (10) Business Days’ nor more than thirty (30) Business Days’ notice before the applicable Tax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shall give such notice, it shall also give written notice of the Tax Redemption Date to the Trustee, the Conversion Agent (if other than the Trustee) an the Paying Agent (if other than the Trustee). The Tax Redemption Date must be a Business Day, and the Company may not specify a Tax Redemption Date that falls on or after the 41st Scheduled Trading Day immediately preceding the Maturity Date.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Redemption Notice, if delivered in the manner herein provided, shall be conclusively presumed to have been duly given, whether or not the Holder receives such notice. In any case, failure to give such Tax Redemption Notice by mail or any defect in the Tax Redemption Notice to the Holder of any Note designated for Tax Redemption as a whole or in part shall not affect the validity of the proceedings for the Tax Redemption of any other Note.</w:t>
      </w:r>
    </w:p>
    <w:p>
      <w:pPr>
        <w:spacing w:after="0" w:line="17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Tax Redemption Notice shall specify:</w:t>
      </w:r>
    </w:p>
    <w:p>
      <w:pPr>
        <w:spacing w:after="0" w:line="22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Redemption Date;</w:t>
      </w:r>
    </w:p>
    <w:p>
      <w:pPr>
        <w:spacing w:after="0" w:line="225" w:lineRule="exact"/>
        <w:rPr>
          <w:rFonts w:ascii="Times New Roman" w:cs="Times New Roman" w:eastAsia="Times New Roman" w:hAnsi="Times New Roman"/>
          <w:sz w:val="18"/>
          <w:szCs w:val="18"/>
          <w:color w:val="auto"/>
        </w:rPr>
      </w:pPr>
    </w:p>
    <w:p>
      <w:pPr>
        <w:ind w:left="1100" w:hanging="268"/>
        <w:spacing w:after="0"/>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any Additional Amounts with respect to such Redemption Price;</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5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Tax Redemption Date, the Redemption Price and any Additional Amounts with respect to such Redemption Price will become due and payable upon each Note to be redeemed, and that interest thereon, if any, shall cease to accrue on and after the Tax Redemption Date;</w:t>
      </w:r>
    </w:p>
    <w:p>
      <w:pPr>
        <w:spacing w:after="0" w:line="175"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11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that will apply to all conversions with a Conversion Date that occurs during the related Redemption Period and Specified Dollar Amount, if applicable;</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2" w:name="page113"/>
    <w:bookmarkEnd w:id="112"/>
    <w:p>
      <w:pPr>
        <w:ind w:left="2260" w:hanging="308"/>
        <w:spacing w:after="0"/>
        <w:tabs>
          <w:tab w:leader="none" w:pos="2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Class A Ordinary Shares added to the Conversion Rate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14.04;</w:t>
      </w:r>
    </w:p>
    <w:p>
      <w:pPr>
        <w:spacing w:after="0" w:line="206"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35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may elect that its Notes not be subject to such Tax Redemption, subject to the Applicable Procedures of the Depositary, in accordance with Section 16.03(d), by written notice to the Company and the Trustee no later than the 5th Business Day prior to the Tax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Tax Redemption Notice shall be irrevocable.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the Tax Redemption Notice, the Company shall publish a notice containing the information included in the Tax Redemption Notice on the Company’s website or through such other public medium as the Company may use.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 Notes may be redeemed by Tax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4"/>
        <w:spacing w:after="0" w:line="258" w:lineRule="auto"/>
        <w:tabs>
          <w:tab w:leader="none" w:pos="15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Redemption Notice has been given in respect of the Notes in accordance with Section 16.01, Section 16.02 or Section 16.03, the Notes shall become due and payable on the Redemption Date at the place or places stated in the Redemption Notice and at the applicable Redemption Price (and any Additional Amounts with respect to such Redemption Price, in the case of a Tax Redemption). On presentation and surrender of the Notes at the place or places stated in the Redemption Notice, the Notes shall be paid and redeemed by the Company at the applicable Redemption Price.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(and any Additional Amounts with respect to such Redemption Price, in the case of a Tax Redemption)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(and any Additional Amounts with respect to such Redemption Price, in the case of a Tax Redemption).</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i w:val="1"/>
          <w:iCs w:val="1"/>
          <w:color w:val="auto"/>
        </w:rPr>
        <w:t>Restrictions on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Service of any process, summons, notice or document by registered mail addressed to the Company’s agent, Cogency Global Inc., at the address 122 E. 42nd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 shall be effective service of process against the Company for any suit, action or proceeding brought in any such court.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COMPANY, THE HOLDERS, BY THEIR ACCEPTANCE OF THE NOTES,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i w:val="1"/>
          <w:iCs w:val="1"/>
          <w:color w:val="auto"/>
        </w:rPr>
        <w:t>Addresses for Notices, Etc</w:t>
      </w:r>
      <w:r>
        <w:rPr>
          <w:rFonts w:ascii="Times New Roman" w:cs="Times New Roman" w:eastAsia="Times New Roman" w:hAnsi="Times New Roman"/>
          <w:sz w:val="18"/>
          <w:szCs w:val="18"/>
          <w:color w:val="auto"/>
        </w:rPr>
        <w:t>.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Bitdeer Technologies Group, 08 Kallang Avenue, Aperia tower 1, #09-03/04 Singapore 339509, Attention: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Redemption Notice or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8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i w:val="1"/>
          <w:iCs w:val="1"/>
          <w:color w:val="auto"/>
        </w:rPr>
        <w:t>Provisions Binding on Company’s Successors; Official Acts by Successor Entity.</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i w:val="1"/>
          <w:iCs w:val="1"/>
          <w:color w:val="auto"/>
        </w:rPr>
        <w:t>Evidence of Compliance with Conditions Precedent; Certificates and Opinions of Counsel to Trustee</w:t>
      </w:r>
      <w:r>
        <w:rPr>
          <w:rFonts w:ascii="Times New Roman" w:cs="Times New Roman" w:eastAsia="Times New Roman" w:hAnsi="Times New Roman"/>
          <w:sz w:val="18"/>
          <w:szCs w:val="18"/>
          <w:color w:val="auto"/>
        </w:rPr>
        <w:t>.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ind w:firstLine="648"/>
        <w:spacing w:after="0" w:line="276" w:lineRule="auto"/>
        <w:rPr>
          <w:sz w:val="20"/>
          <w:szCs w:val="20"/>
          <w:color w:val="auto"/>
        </w:rPr>
      </w:pPr>
      <w:r>
        <w:rPr>
          <w:rFonts w:ascii="Times New Roman" w:cs="Times New Roman" w:eastAsia="Times New Roman" w:hAnsi="Times New Roman"/>
          <w:sz w:val="17"/>
          <w:szCs w:val="17"/>
          <w:color w:val="auto"/>
        </w:rPr>
        <w:t>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w:t>
      </w:r>
    </w:p>
    <w:p>
      <w:pPr>
        <w:spacing w:after="0" w:line="1" w:lineRule="exact"/>
        <w:rPr>
          <w:sz w:val="20"/>
          <w:szCs w:val="20"/>
          <w:color w:val="auto"/>
        </w:rPr>
      </w:pPr>
    </w:p>
    <w:p>
      <w:pPr>
        <w:jc w:val="both"/>
        <w:ind w:firstLine="8"/>
        <w:spacing w:after="0" w:line="251"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provided that no Opinion of Counsel shall be required to be delivered in connection with (1) the original issuance of Notes on the date hereof under this Indenture, or (2)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xml:space="preserve"> In any case where any Interest Payment Date, any Redemption Date, any Fundamental Change Repurchase Date, the Specified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i w:val="1"/>
          <w:iCs w:val="1"/>
          <w:color w:val="auto"/>
        </w:rPr>
        <w:t>No Security Interest Created.</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i w:val="1"/>
          <w:iCs w:val="1"/>
          <w:color w:val="auto"/>
        </w:rPr>
        <w:t>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(or, with respect to the second and third paragraphs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2.05(d), beneficial owners of the Notes), the parties hereto, any Paying Agent, any Conversion Agent, any authenticating agent, any Note Registrar and their successors hereunder, any benefit or any legal or equitable right, remedy or claim under this Indenture.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i w:val="1"/>
          <w:iCs w:val="1"/>
          <w:color w:val="auto"/>
        </w:rPr>
        <w:t>Authenticating Agent</w:t>
      </w:r>
      <w:r>
        <w:rPr>
          <w:rFonts w:ascii="Times New Roman" w:cs="Times New Roman" w:eastAsia="Times New Roman" w:hAnsi="Times New Roman"/>
          <w:sz w:val="18"/>
          <w:szCs w:val="18"/>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7.10, the Trustee may appoint a successor authenticating agent (which may be the Trustee), shall give written notice of such appointment to the Company and shall deliver notice of such appointment to all 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 in the within-named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7" w:name="page118"/>
    <w:bookmarkEnd w:id="1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i w:val="1"/>
          <w:iCs w:val="1"/>
          <w:color w:val="auto"/>
        </w:rPr>
        <w:t>Multiple Originals.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such other electronic means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In case any one or more of the provisions contained in this Indenture or in the Notes shall for any reason be held to be invalid, illegal or unenforceable in any respect, such invalidity, illegality or unenforceability shall not affect any other provisions of this Indenture or of such Notes, but this Indenture and such Notes shall be construed as if such invalid or illegal or unenforceable provision had never been contained herein or therein.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this Indenture and the Notes and the Trustee, acting in any capacity under this Indenture, shall have no liability or responsibility for any such calculations or information underlying such calculations. These calculations include, but are not limited to, determinations of the Share Price, Last Reported Sale Prices of the Class A Ordinary Shares, the trading price of the Notes (for purposes of determining whether the Notes are convertible as set forth in this Indenture), the Daily VWAPs, the Daily Conversion Values, the Daily Settlement Amounts, accrued interest payable on the Notes, any Additional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Conversion Agent has no duty to verify such calculations and is entitled to rely conclusively upon the accuracy of the Company’s calculations without independent verification. The Trustee shall forward the Company’s calculations to any registered Holder of Notes upon the request of that Holder at the sole cost and expense of the Company.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17.14 [Intentionally Omitted].</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17.15 </w:t>
      </w:r>
      <w:r>
        <w:rPr>
          <w:rFonts w:ascii="Times New Roman" w:cs="Times New Roman" w:eastAsia="Times New Roman" w:hAnsi="Times New Roman"/>
          <w:sz w:val="18"/>
          <w:szCs w:val="18"/>
          <w:i w:val="1"/>
          <w:iCs w:val="1"/>
          <w:color w:val="auto"/>
        </w:rPr>
        <w:t>Delivery of Notices</w:t>
      </w:r>
      <w:r>
        <w:rPr>
          <w:rFonts w:ascii="Times New Roman" w:cs="Times New Roman" w:eastAsia="Times New Roman" w:hAnsi="Times New Roman"/>
          <w:sz w:val="18"/>
          <w:szCs w:val="18"/>
          <w:color w:val="auto"/>
        </w:rPr>
        <w:t>. 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date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Jihan Wu</w:t>
      </w:r>
    </w:p>
    <w:p>
      <w:pPr>
        <w:spacing w:after="0" w:line="27" w:lineRule="exact"/>
        <w:rPr>
          <w:sz w:val="20"/>
          <w:szCs w:val="20"/>
          <w:color w:val="auto"/>
        </w:rPr>
      </w:pPr>
    </w:p>
    <w:p>
      <w:pPr>
        <w:jc w:val="right"/>
        <w:spacing w:after="0"/>
        <w:tabs>
          <w:tab w:leader="none" w:pos="3440" w:val="left"/>
        </w:tabs>
        <w:rPr>
          <w:sz w:val="20"/>
          <w:szCs w:val="20"/>
          <w:color w:val="auto"/>
        </w:rPr>
      </w:pPr>
      <w:r>
        <w:rPr>
          <w:rFonts w:ascii="Times New Roman" w:cs="Times New Roman" w:eastAsia="Times New Roman" w:hAnsi="Times New Roman"/>
          <w:sz w:val="18"/>
          <w:szCs w:val="18"/>
          <w:color w:val="auto"/>
        </w:rPr>
        <w:t>Title:</w:t>
        <w:tab/>
        <w:t>Chairman of the Board and Chief Executive</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ASSOCIATION, as Trustee</w:t>
      </w:r>
    </w:p>
    <w:p>
      <w:pPr>
        <w:spacing w:after="0" w:line="207"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36"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9" w:name="page120"/>
    <w:bookmarkEnd w:id="119"/>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THE FOLLOWING LEGEND IF A RESTRICTED SECURITY]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jc w:val="both"/>
        <w:ind w:left="660" w:firstLine="644"/>
        <w:spacing w:after="0" w:line="266" w:lineRule="auto"/>
        <w:tabs>
          <w:tab w:leader="none" w:pos="15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BITDEER TECHNOLOGIES GROUP (THE “COMPANY”) THAT IT WILL NOT OFFER, SELL, PLEDGE OR OTHERWISE TRANSFER THIS SECURITY OR ANY BENEFICIAL INTEREST HEREIN, EXCEPT:</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25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 ACT, OR</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27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30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BITDEER TECHNOLOGIES GROUP</w:t>
            </w:r>
          </w:p>
        </w:tc>
        <w:tc>
          <w:tcPr>
            <w:tcW w:w="104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730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4.875% Convertible Senior Note due 2031</w:t>
            </w:r>
          </w:p>
        </w:tc>
        <w:tc>
          <w:tcPr>
            <w:tcW w:w="1040" w:type="dxa"/>
            <w:vAlign w:val="bottom"/>
          </w:tcPr>
          <w:p>
            <w:pPr>
              <w:spacing w:after="0"/>
              <w:rPr>
                <w:sz w:val="24"/>
                <w:szCs w:val="24"/>
                <w:color w:val="auto"/>
              </w:rPr>
            </w:pPr>
          </w:p>
        </w:tc>
      </w:tr>
      <w:tr>
        <w:trPr>
          <w:trHeight w:val="59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 [_____]</w:t>
            </w:r>
          </w:p>
        </w:tc>
        <w:tc>
          <w:tcPr>
            <w:tcW w:w="7300" w:type="dxa"/>
            <w:vAlign w:val="bottom"/>
          </w:tcPr>
          <w:p>
            <w:pPr>
              <w:ind w:left="6520"/>
              <w:spacing w:after="0"/>
              <w:rPr>
                <w:sz w:val="20"/>
                <w:szCs w:val="20"/>
                <w:color w:val="auto"/>
              </w:rPr>
            </w:pPr>
            <w:r>
              <w:rPr>
                <w:rFonts w:ascii="Times New Roman" w:cs="Times New Roman" w:eastAsia="Times New Roman" w:hAnsi="Times New Roman"/>
                <w:sz w:val="18"/>
                <w:szCs w:val="18"/>
                <w:color w:val="auto"/>
                <w:w w:val="96"/>
              </w:rPr>
              <w:t>[Initially]</w:t>
            </w:r>
            <w:r>
              <w:rPr>
                <w:rFonts w:ascii="Times New Roman" w:cs="Times New Roman" w:eastAsia="Times New Roman" w:hAnsi="Times New Roman"/>
                <w:sz w:val="29"/>
                <w:szCs w:val="29"/>
                <w:color w:val="auto"/>
                <w:w w:val="96"/>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$[_________]</w:t>
            </w:r>
          </w:p>
        </w:tc>
      </w:tr>
      <w:tr>
        <w:trPr>
          <w:trHeight w:val="30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CUSIP No. [________]</w:t>
            </w:r>
          </w:p>
        </w:tc>
        <w:tc>
          <w:tcPr>
            <w:tcW w:w="7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7"/>
          <w:szCs w:val="17"/>
          <w:color w:val="auto"/>
        </w:rPr>
        <w:t>Bitdeer Technologies Group, a company incorporated under the laws of the Cayman Islands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[_______]</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p>
    <w:p>
      <w:pPr>
        <w:spacing w:after="0" w:line="185" w:lineRule="auto"/>
        <w:rPr>
          <w:sz w:val="20"/>
          <w:szCs w:val="20"/>
          <w:color w:val="auto"/>
        </w:rPr>
      </w:pPr>
      <w:r>
        <w:rPr>
          <w:rFonts w:ascii="Times New Roman" w:cs="Times New Roman" w:eastAsia="Times New Roman" w:hAnsi="Times New Roman"/>
          <w:sz w:val="18"/>
          <w:szCs w:val="18"/>
          <w:color w:val="auto"/>
        </w:rPr>
        <w:t>or registered assigns, the principal sum [as set forth in the “Schedule of Exchanges of Notes” attached hereto]</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[of $[_______]]</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which amount, taken</w:t>
      </w:r>
    </w:p>
    <w:p>
      <w:pPr>
        <w:jc w:val="both"/>
        <w:spacing w:after="0" w:line="253" w:lineRule="auto"/>
        <w:rPr>
          <w:sz w:val="20"/>
          <w:szCs w:val="20"/>
          <w:color w:val="auto"/>
        </w:rPr>
      </w:pPr>
      <w:r>
        <w:rPr>
          <w:rFonts w:ascii="Times New Roman" w:cs="Times New Roman" w:eastAsia="Times New Roman" w:hAnsi="Times New Roman"/>
          <w:sz w:val="18"/>
          <w:szCs w:val="18"/>
          <w:color w:val="auto"/>
        </w:rPr>
        <w:t>together with the principal amounts of all other outstanding Notes, shall not, unless permitted by the Indenture, exceed $330,000,000 plus up to an additional $45,000,000 principal amount of any additional Notes purchased by the Initial Purchasers pursuant to the exercise of their option to purchase additional Notes as set forth in the Purchase Agreement, in aggregate at any time, in accordance with the rules and the Applicable Procedures of the Depositary, on July 1, 2031, and interest thereon as set forth below.</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Note shall bear interest at the rate of 4.875% per year from June 23, 2025 or from the most recent date to which interest had been paid or duly provided for to, but excluding, the next scheduled Interest Payment Date until July 1, 2031. Interest is payable semi-annually in arrears on January 1 and July 1, commencing on January 1, 2026, to Holders of record at the close of business on the preceding December 15 or June 15 (whether or not such day is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and Section 6.03‎, and any express mention of the payment of Additional Interest in any provision therein shall not be construed as excluding Additional Interest in those provisions thereof where such express mention is not made.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in accordance with ‎Section 2.03(c) of the within-mentioned Indenture.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the Corporate Trust Office, as a place where Notes may be presented for payment or for registration of transfer and exchange.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Class A Ordinary Shares or a combination of cash and Class A Ordinary Shares,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ind w:left="340" w:hanging="332"/>
        <w:spacing w:after="0" w:line="180" w:lineRule="auto"/>
        <w:tabs>
          <w:tab w:leader="none" w:pos="34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0" w:lineRule="auto"/>
        <w:tabs>
          <w:tab w:leader="none" w:pos="340" w:val="left"/>
        </w:tabs>
        <w:numPr>
          <w:ilvl w:val="0"/>
          <w:numId w:val="1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ind w:left="340" w:hanging="332"/>
        <w:spacing w:after="0" w:line="180" w:lineRule="auto"/>
        <w:tabs>
          <w:tab w:leader="none" w:pos="340" w:val="left"/>
        </w:tabs>
        <w:numPr>
          <w:ilvl w:val="0"/>
          <w:numId w:val="10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1" w:lineRule="auto"/>
        <w:tabs>
          <w:tab w:leader="none" w:pos="340" w:val="left"/>
        </w:tabs>
        <w:numPr>
          <w:ilvl w:val="0"/>
          <w:numId w:val="1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264033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4.875% Convertible Senior Note due 2031</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4.875%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to the aggregate principal amount of $330,000,000 plus up to an additional $45,000,000 principal amount of any additional Notes purchased by the Initial Purchasers pursuant to the exercise of their option to purchase additional Notes as set forth in the Purchase Agreement, all issued or to be issued under and pursuant to an Indenture dated as of June 23, 2025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(if applicable), the Specified Repurchase Date Repurchase Price on the Specified Repurchase Date (if applicable), the Redemption Price on any Redemption Date (if applicable) and the principal amount on the Maturity Date, as the case may be, to the Holder who surrenders a Note to a Paying Agent to collect such payments in respect of the Note. The Company shall pay cash amounts in money of the United States that at the time of payment is legal tender for payment of public and private debts.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Indenture, Additional Amounts will be paid in connection with any payments made and deliveries caused to be made by the Company or any successor to the Company under or with respect to the Indenture and the Notes, including, but not limited to, payments of principal (including, if applicable the Redemption Price, the Fundamental Change Repurchase Price and the Specified Repurchase Date Repurchase Price), payments of interest and the payment of cash and/or deliveries of Class A Ordinary Shares (together with payments for any fractional Class A Ordinary Shares) upon conversion of the Notes to ensure that the net amount received by the Holder after any applicable withholding or deduction (and after deducting any taxes on the Additional Amounts) will equal the amount that would have been received by such Holder had no such withholding or deduction been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the Fundamental Change Repurchase Price and the Specified Repurchase Date Repurchase Price, if applicable) of, (y) accrued and unpaid interest, if any, on, and (z) the consideration due upon conversion of, this Note at the place, at the respective times, at the rate and in the lawful money and/or Class A Ordinary Shares, as the case may be, herein prescribed.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minimum denominations of $1,000 principal amount and integral multiples thereof. At the office or agency of the Company designated by the Company for such purpose under the Indenture,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not redeem the Notes prior to the Maturity Date, except in the event of a Redemption as described in Article 16 of the Indenture. No sinking fund is provided for the Notes.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Specified Repurchase Date and upon the occurrence of a Fundamental Change, the Holder has the right, at such Holder’s option, to require the Company to repurchase for cash all of such Holder’s Notes or any portion thereof (in principal amounts of $1,000 or integral multiples thereof) on the Specified Repurchase Date or the Fundamental Change Repurchase Date, as applicable, at a price equal to the Fundamental Change Repurchase Price or the Specified Repurchase Date Repurchase Price, as applicable.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Class A Ordinary Shares or a combination of cash and Class A Ordinary Shares, as applicable, at the Conversion Rate specified in the Indenture, as adjusted from time to time as provided in the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Note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jc w:val="right"/>
        <w:ind w:right="5460"/>
        <w:spacing w:after="0" w:line="532"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29"/>
          <w:szCs w:val="29"/>
          <w:b w:val="1"/>
          <w:bCs w:val="1"/>
          <w:color w:val="auto"/>
          <w:vertAlign w:val="superscript"/>
        </w:rPr>
        <w:t>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4.875% Convertible Senior Notes due 2031</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initial principal amount of this Global Note is THREE HUNDRED AND THIRTY MILLION DOLLARS ($330,000,000.00). The following increases or decreases in this Global Note have been made:</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Amount of decrease in</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principal amount of this</w:t>
      </w:r>
    </w:p>
    <w:p>
      <w:pPr>
        <w:spacing w:after="0" w:line="2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Date of exchange</w:t>
      </w:r>
      <w:r>
        <w:rPr>
          <w:sz w:val="20"/>
          <w:szCs w:val="20"/>
          <w:color w:val="auto"/>
        </w:rPr>
        <w:tab/>
      </w:r>
      <w:r>
        <w:rPr>
          <w:rFonts w:ascii="Times New Roman" w:cs="Times New Roman" w:eastAsia="Times New Roman" w:hAnsi="Times New Roman"/>
          <w:sz w:val="17"/>
          <w:szCs w:val="17"/>
          <w:color w:val="auto"/>
        </w:rPr>
        <w:t>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4232275</wp:posOffset>
            </wp:positionV>
            <wp:extent cx="17830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Amount of increase in principal amount 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-13335</wp:posOffset>
            </wp:positionV>
            <wp:extent cx="7132320" cy="4088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this</w:t>
      </w:r>
    </w:p>
    <w:p>
      <w:pPr>
        <w:spacing w:after="0" w:line="2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Global Note following</w:t>
      </w:r>
      <w:r>
        <w:rPr>
          <w:sz w:val="20"/>
          <w:szCs w:val="20"/>
          <w:color w:val="auto"/>
        </w:rPr>
        <w:tab/>
      </w:r>
      <w:r>
        <w:rPr>
          <w:rFonts w:ascii="Times New Roman" w:cs="Times New Roman" w:eastAsia="Times New Roman" w:hAnsi="Times New Roman"/>
          <w:sz w:val="17"/>
          <w:szCs w:val="17"/>
          <w:color w:val="auto"/>
        </w:rPr>
        <w:t>Signature of authorized signatory</w:t>
      </w:r>
    </w:p>
    <w:p>
      <w:pPr>
        <w:spacing w:after="0" w:line="9"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such decrease or increase</w:t>
      </w:r>
      <w:r>
        <w:rPr>
          <w:sz w:val="20"/>
          <w:szCs w:val="20"/>
          <w:color w:val="auto"/>
        </w:rPr>
        <w:tab/>
      </w:r>
      <w:r>
        <w:rPr>
          <w:rFonts w:ascii="Times New Roman" w:cs="Times New Roman" w:eastAsia="Times New Roman" w:hAnsi="Times New Roman"/>
          <w:sz w:val="17"/>
          <w:szCs w:val="17"/>
          <w:color w:val="auto"/>
        </w:rPr>
        <w:t>of Trustee or Note Custodian</w:t>
      </w:r>
    </w:p>
    <w:p>
      <w:pPr>
        <w:spacing w:after="0" w:line="230" w:lineRule="exact"/>
        <w:rPr>
          <w:sz w:val="20"/>
          <w:szCs w:val="20"/>
          <w:color w:val="auto"/>
        </w:rPr>
      </w:pPr>
    </w:p>
    <w:p>
      <w:pPr>
        <w:sectPr>
          <w:pgSz w:w="11900" w:h="16838" w:orient="portrait"/>
          <w:cols w:equalWidth="0" w:num="3">
            <w:col w:w="3980" w:space="400"/>
            <w:col w:w="1720" w:space="420"/>
            <w:col w:w="472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NOTICE OF CONVERSION]</w:t>
      </w:r>
    </w:p>
    <w:p>
      <w:pPr>
        <w:sectPr>
          <w:pgSz w:w="11900" w:h="16838" w:orient="portrait"/>
          <w:cols w:equalWidth="0" w:num="1">
            <w:col w:w="11240"/>
          </w:cols>
          <w:pgMar w:left="320" w:top="333"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 62828220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Conversion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200" w:lineRule="exact"/>
        <w:rPr>
          <w:sz w:val="20"/>
          <w:szCs w:val="20"/>
          <w:color w:val="auto"/>
        </w:rPr>
      </w:pPr>
    </w:p>
    <w:p>
      <w:pPr>
        <w:sectPr>
          <w:pgSz w:w="11900" w:h="16838" w:orient="portrait"/>
          <w:cols w:equalWidth="0" w:num="2">
            <w:col w:w="240" w:space="420"/>
            <w:col w:w="10580"/>
          </w:cols>
          <w:pgMar w:left="320" w:top="333" w:right="339" w:bottom="1440" w:gutter="0" w:footer="0" w:header="0"/>
          <w:type w:val="continuous"/>
        </w:sectPr>
      </w:pPr>
    </w:p>
    <w:p>
      <w:pPr>
        <w:spacing w:after="0" w:line="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in principal amount or an integral multiple thereof) below designated, into cash, Class A Ordinary Shares or a combination of cash and Class A Ordinary Shares, as applicable, in accordance with the terms of the Indenture referred to in this Note, and directs that any cash payable and any Class A Ordinary Shares issuable and deliverable upon such conversion, together with any cash for any fractional Class A Ordinary Shares, and any Notes representing any unconverted principal amount hereof, be issued and delivered to the registered Holder hereof unless a different name has been indicated below. If any Class A Ordinary Shares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308610</wp:posOffset>
            </wp:positionV>
            <wp:extent cx="284607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56318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563181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863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Commission Rule 17Ad-15 if Class A Ordinary Shares are to be issued,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543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25" w:lineRule="exact"/>
        <w:rPr>
          <w:sz w:val="20"/>
          <w:szCs w:val="20"/>
          <w:color w:val="auto"/>
        </w:rPr>
      </w:pPr>
    </w:p>
    <w:p>
      <w:pPr>
        <w:jc w:val="both"/>
        <w:ind w:left="390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3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FUNDAMENTAL CHANGE REPURCHASE NOTICE]</w:t>
      </w:r>
    </w:p>
    <w:p>
      <w:pPr>
        <w:sectPr>
          <w:pgSz w:w="11900" w:h="16838" w:orient="portrait"/>
          <w:cols w:equalWidth="0" w:num="1">
            <w:col w:w="11240"/>
          </w:cols>
          <w:pgMar w:left="320" w:top="333"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 62828220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Paying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200" w:lineRule="exact"/>
        <w:rPr>
          <w:sz w:val="20"/>
          <w:szCs w:val="20"/>
          <w:color w:val="auto"/>
        </w:rPr>
      </w:pPr>
    </w:p>
    <w:p>
      <w:pPr>
        <w:sectPr>
          <w:pgSz w:w="11900" w:h="16838" w:orient="portrait"/>
          <w:cols w:equalWidth="0" w:num="2">
            <w:col w:w="240" w:space="420"/>
            <w:col w:w="10580"/>
          </w:cols>
          <w:pgMar w:left="320" w:top="333" w:right="339" w:bottom="1440" w:gutter="0" w:footer="0" w:header="0"/>
          <w:type w:val="continuous"/>
        </w:sectPr>
      </w:pPr>
    </w:p>
    <w:p>
      <w:pPr>
        <w:spacing w:after="0" w:line="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Bitdeer Technologies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amount to be repurchased (if less than all): $______,000</w:t>
      </w:r>
    </w:p>
    <w:p>
      <w:pPr>
        <w:spacing w:after="0" w:line="225" w:lineRule="exact"/>
        <w:rPr>
          <w:sz w:val="20"/>
          <w:szCs w:val="20"/>
          <w:color w:val="auto"/>
        </w:rPr>
      </w:pPr>
    </w:p>
    <w:p>
      <w:pPr>
        <w:jc w:val="both"/>
        <w:ind w:left="390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SPECIFIED REPURCHASE DATE REPURCHASE NOTICE]</w:t>
      </w:r>
    </w:p>
    <w:p>
      <w:pPr>
        <w:sectPr>
          <w:pgSz w:w="11900" w:h="16838" w:orient="portrait"/>
          <w:cols w:equalWidth="0" w:num="1">
            <w:col w:w="11240"/>
          </w:cols>
          <w:pgMar w:left="320" w:top="333"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 62828220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Paying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200" w:lineRule="exact"/>
        <w:rPr>
          <w:sz w:val="20"/>
          <w:szCs w:val="20"/>
          <w:color w:val="auto"/>
        </w:rPr>
      </w:pPr>
    </w:p>
    <w:p>
      <w:pPr>
        <w:sectPr>
          <w:pgSz w:w="11900" w:h="16838" w:orient="portrait"/>
          <w:cols w:equalWidth="0" w:num="2">
            <w:col w:w="240" w:space="420"/>
            <w:col w:w="10580"/>
          </w:cols>
          <w:pgMar w:left="320" w:top="333" w:right="339" w:bottom="1440" w:gutter="0" w:footer="0" w:header="0"/>
          <w:type w:val="continuous"/>
        </w:sectPr>
      </w:pPr>
    </w:p>
    <w:p>
      <w:pPr>
        <w:spacing w:after="0" w:line="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Bitdeer Technologies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Specified Repurchase Date and specifying the Specified Repurchase Date and requests and instructs the Company to pay to the registered holder hereof in accordance with ‎Section 15.01 of the Indenture referred to in this Note (1) the entire principal amount of this Note, or the portion thereof (that is $1,000 principal amount or an integral multiple thereof) below designated, and (2) if such Specified Repurchase Date does not fall during the period after a Regular Record Date and on or prior to the corresponding Interest Payment Date, accrued and unpaid interest, if any, thereon to, but excluding, such Specified Repurchase Date. Capitalized terms used herein but not defined shall have the meanings ascribed to such terms in the Indenture.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amount to be repurchased (if less than all): $______,000</w:t>
      </w:r>
    </w:p>
    <w:p>
      <w:pPr>
        <w:spacing w:after="0" w:line="225" w:lineRule="exact"/>
        <w:rPr>
          <w:sz w:val="20"/>
          <w:szCs w:val="20"/>
          <w:color w:val="auto"/>
        </w:rPr>
      </w:pPr>
    </w:p>
    <w:p>
      <w:pPr>
        <w:jc w:val="both"/>
        <w:ind w:left="390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ATTACHMENT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Note, the undersigned confirms that such Note is being transferred:</w:t>
      </w:r>
    </w:p>
    <w:p>
      <w:pPr>
        <w:spacing w:after="0" w:line="225" w:lineRule="exact"/>
        <w:rPr>
          <w:sz w:val="20"/>
          <w:szCs w:val="20"/>
          <w:color w:val="auto"/>
        </w:rPr>
      </w:pPr>
    </w:p>
    <w:p>
      <w:pPr>
        <w:ind w:left="900" w:hanging="163"/>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Bitdeer Technologies Group or a subsidiary thereof; or</w:t>
      </w:r>
    </w:p>
    <w:p>
      <w:pPr>
        <w:spacing w:after="0" w:line="225"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225"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in compliance with Rule 144A under the Securities Act of 1933, as amended; or</w:t>
      </w:r>
    </w:p>
    <w:p>
      <w:pPr>
        <w:spacing w:after="0" w:line="225" w:lineRule="exact"/>
        <w:rPr>
          <w:rFonts w:ascii="Times New Roman" w:cs="Times New Roman" w:eastAsia="Times New Roman" w:hAnsi="Times New Roman"/>
          <w:sz w:val="18"/>
          <w:szCs w:val="18"/>
          <w:color w:val="auto"/>
        </w:rPr>
      </w:pPr>
    </w:p>
    <w:p>
      <w:pPr>
        <w:ind w:left="740" w:hanging="3"/>
        <w:spacing w:after="0" w:line="282" w:lineRule="auto"/>
        <w:tabs>
          <w:tab w:leader="none" w:pos="9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savings and loan associations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unions) 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to and in the name of the registered holder.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Bitdeer Technologies Group (the “Company”) has determined that the information (i) is not material and (ii) contains personal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Barclays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Churchill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E14 5HP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for Barclays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Bitdeer Technologies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Call Option Transaction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Barclays Bank PLC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through its agent Barclays Capital Inc.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Bitdeer Technologies Group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Confirmation constitutes a “Confirmation” as referred to in the ISDA Master Agreement specified below. This Confirmation shall replace any previous agreements and serve as the final documentation for the Transaction. Dealer is not a member of the Securities Investor Protection Corporation. Dealer is authorized by the Prudential Regulation Authority and regulated by the Financial Conduct Authority and the Prudential Regulation Authority.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The Transaction constitutes a Share Option Transaction for purposes of the Equity Definitions. In the event of any inconsistency between the Equity Definitions and this Confirmation, this Confirmation will govern. For the avoidance of doubt, references herein to sections of the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June 17, 2025, among Counterparty and Barclays Capital Inc. and BTIG, LLC, as representatives of the Initial Purchasers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are based on the draft of the Purchase Agreement most recently reviewed by the parties at the time of execution of this Confirmation. Certain defined terms used herein are based on terms that are defined in the Preliminary Offering Memorandum, dated June 17, 2025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4.875%% Convertible Senior Notes due 2030 (as originally issued by Counterparty,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each USD 1,000 principal amount of Convertible Notes,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issued by Counterparty in an aggregate initial principal amount of USD 330,000,000 (as increased by up to an aggregate principal amount of USD 45,000,000 if and to the extent that the Initial Purchasers exercise their option to purchase additional Convertible Notes pursuant to the Purchase Agreement) pursuant to an Indenture to be dated on or about June 23, 2025.</w:t>
      </w:r>
    </w:p>
    <w:p>
      <w:pPr>
        <w:spacing w:after="0" w:line="186"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jc w:val="both"/>
        <w:ind w:left="980" w:hanging="324"/>
        <w:spacing w:after="0" w:line="252" w:lineRule="auto"/>
        <w:tabs>
          <w:tab w:leader="none" w:pos="9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(but without any Schedule except for (a) the election of the laws of the State of New York as the governing law (without reference to choice of law doctrine), (b) the agreement of the parties hereto that, following the payment of the Premium and the delivery to Dealer of the opinions of counsel as required pursuant to Section 5(a), the condition precedent in Section 2(a)(iii) of the Agreement shall not apply to a payment or delivery owing by Dealer to Counterparty (it being understood that such condition precedent will continue to apply and this clause (b) will have no effect with respect to a Potential Event of Default, Event of Default and/or Early Termination Date arising under, or with respect to, Section 5(a)(ii) or 5(a)(iv) of the Agreement, (c) the election that the “Cross-Default” provisions of Section 5(a)(vi) of the Agreement shall not apply to Counterparty and shall apply to Dealer with a “Threshold Amount” of three percent of the shareholders’ equity, and (d) the “Default Under Specified Transactions” provisions of Section 5(a)(v) of the Agreement shall not apply to Counterparty.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ind w:left="980" w:hanging="324"/>
        <w:spacing w:after="0"/>
        <w:tabs>
          <w:tab w:leader="none" w:pos="9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particular Transaction to which this Confirmation relates are as follows:</w:t>
      </w:r>
      <w:r>
        <w:rPr>
          <w:rFonts w:ascii="Times New Roman" w:cs="Times New Roman" w:eastAsia="Times New Roman" w:hAnsi="Times New Roman"/>
          <w:sz w:val="18"/>
          <w:szCs w:val="18"/>
          <w:b w:val="1"/>
          <w:bCs w:val="1"/>
          <w:color w:val="auto"/>
        </w:rPr>
        <w:t>General Terms: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Date:</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June 17, 2025</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Style:</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European</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Type:</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Call</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Seller:</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Buyer:</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Counterparty</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Class A ordinary shares, par value USD 0.0000001 each, of Counterparty (Ticker Symbol: “BTDR”)</w:t>
            </w:r>
          </w:p>
        </w:tc>
      </w:tr>
      <w:tr>
        <w:trPr>
          <w:trHeight w:val="414"/>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Options:</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10,205,300. For the avoidance of doubt, the Number of Options shall be reduced by the number of</w:t>
            </w:r>
          </w:p>
        </w:tc>
      </w:tr>
      <w:tr>
        <w:trPr>
          <w:trHeight w:val="216"/>
        </w:trPr>
        <w:tc>
          <w:tcPr>
            <w:tcW w:w="3220" w:type="dxa"/>
            <w:vAlign w:val="bottom"/>
          </w:tcPr>
          <w:p>
            <w:pPr>
              <w:spacing w:after="0"/>
              <w:rPr>
                <w:sz w:val="18"/>
                <w:szCs w:val="18"/>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any Options settled pursuant to Early Settlement (as defined below) or exercised by Counterparty. In</w:t>
            </w:r>
          </w:p>
        </w:tc>
      </w:tr>
      <w:tr>
        <w:trPr>
          <w:trHeight w:val="234"/>
        </w:trPr>
        <w:tc>
          <w:tcPr>
            <w:tcW w:w="3220" w:type="dxa"/>
            <w:vAlign w:val="bottom"/>
          </w:tcPr>
          <w:p>
            <w:pPr>
              <w:spacing w:after="0"/>
              <w:rPr>
                <w:sz w:val="20"/>
                <w:szCs w:val="20"/>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 event will the Number of Options be less than zero.</w:t>
            </w:r>
          </w:p>
        </w:tc>
      </w:tr>
      <w:tr>
        <w:trPr>
          <w:trHeight w:val="414"/>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Entitlement:</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One. For the avoidance of doubt, the Option Entitlement shall be subject to adjustment from time to</w:t>
            </w:r>
          </w:p>
        </w:tc>
      </w:tr>
      <w:tr>
        <w:trPr>
          <w:trHeight w:val="234"/>
        </w:trPr>
        <w:tc>
          <w:tcPr>
            <w:tcW w:w="3220" w:type="dxa"/>
            <w:vAlign w:val="bottom"/>
          </w:tcPr>
          <w:p>
            <w:pPr>
              <w:spacing w:after="0"/>
              <w:rPr>
                <w:sz w:val="20"/>
                <w:szCs w:val="20"/>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time, as described under “Method of Adjustment” below.</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Shares:</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As of any date, the product of the Number of Options and the Option Entitlement.</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Strike Price:</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USD 0.00</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Premium:</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USD 129,607,310.00</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Premium Payment Date:</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June 23, 2025</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Exchange(s):</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Nasdaq Capital Market, or any successor to such exchange or quotation system.</w:t>
            </w:r>
          </w:p>
        </w:tc>
      </w:tr>
      <w:tr>
        <w:trPr>
          <w:trHeight w:val="432"/>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Related Exchange(s):</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14"/>
        </w:trPr>
        <w:tc>
          <w:tcPr>
            <w:tcW w:w="3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Market Disruption Event:</w:t>
            </w: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w:t>
            </w:r>
          </w:p>
        </w:tc>
      </w:tr>
      <w:tr>
        <w:trPr>
          <w:trHeight w:val="216"/>
        </w:trPr>
        <w:tc>
          <w:tcPr>
            <w:tcW w:w="3220" w:type="dxa"/>
            <w:vAlign w:val="bottom"/>
          </w:tcPr>
          <w:p>
            <w:pPr>
              <w:spacing w:after="0"/>
              <w:rPr>
                <w:sz w:val="18"/>
                <w:szCs w:val="18"/>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amended (A) by deleting the words “at any time during the one hour period that ends at the relevant</w:t>
            </w:r>
          </w:p>
        </w:tc>
      </w:tr>
      <w:tr>
        <w:trPr>
          <w:trHeight w:val="216"/>
        </w:trPr>
        <w:tc>
          <w:tcPr>
            <w:tcW w:w="3220" w:type="dxa"/>
            <w:vAlign w:val="bottom"/>
          </w:tcPr>
          <w:p>
            <w:pPr>
              <w:spacing w:after="0"/>
              <w:rPr>
                <w:sz w:val="18"/>
                <w:szCs w:val="18"/>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Valuation Time, Latest Exercise Time, Knock-in Valuation Time or Knock-out Valuation Time, as</w:t>
            </w:r>
          </w:p>
        </w:tc>
      </w:tr>
      <w:tr>
        <w:trPr>
          <w:trHeight w:val="216"/>
        </w:trPr>
        <w:tc>
          <w:tcPr>
            <w:tcW w:w="3220" w:type="dxa"/>
            <w:vAlign w:val="bottom"/>
          </w:tcPr>
          <w:p>
            <w:pPr>
              <w:spacing w:after="0"/>
              <w:rPr>
                <w:sz w:val="18"/>
                <w:szCs w:val="18"/>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case may be” and inserting the words “at any time on any Averaging Date” after the word</w:t>
            </w:r>
          </w:p>
        </w:tc>
      </w:tr>
      <w:tr>
        <w:trPr>
          <w:trHeight w:val="216"/>
        </w:trPr>
        <w:tc>
          <w:tcPr>
            <w:tcW w:w="3220" w:type="dxa"/>
            <w:vAlign w:val="bottom"/>
          </w:tcPr>
          <w:p>
            <w:pPr>
              <w:spacing w:after="0"/>
              <w:rPr>
                <w:sz w:val="18"/>
                <w:szCs w:val="18"/>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“material,” in the third line thereof, and (B) by replacing the words “or (iii) an Early Closure.”</w:t>
            </w:r>
          </w:p>
        </w:tc>
      </w:tr>
      <w:tr>
        <w:trPr>
          <w:trHeight w:val="216"/>
        </w:trPr>
        <w:tc>
          <w:tcPr>
            <w:tcW w:w="3220" w:type="dxa"/>
            <w:vAlign w:val="bottom"/>
          </w:tcPr>
          <w:p>
            <w:pPr>
              <w:spacing w:after="0"/>
              <w:rPr>
                <w:sz w:val="18"/>
                <w:szCs w:val="18"/>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therein with “(iii) an Early Closure, or (iv) a Regulatory Disruption.” Section 6.3(d) of the Equity</w:t>
            </w:r>
          </w:p>
        </w:tc>
      </w:tr>
      <w:tr>
        <w:trPr>
          <w:trHeight w:val="216"/>
        </w:trPr>
        <w:tc>
          <w:tcPr>
            <w:tcW w:w="3220" w:type="dxa"/>
            <w:vAlign w:val="bottom"/>
          </w:tcPr>
          <w:p>
            <w:pPr>
              <w:spacing w:after="0"/>
              <w:rPr>
                <w:sz w:val="18"/>
                <w:szCs w:val="18"/>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Definitions is hereby amended by deleting the remainder of the provision following the term</w:t>
            </w:r>
          </w:p>
        </w:tc>
      </w:tr>
      <w:tr>
        <w:trPr>
          <w:trHeight w:val="234"/>
        </w:trPr>
        <w:tc>
          <w:tcPr>
            <w:tcW w:w="3220" w:type="dxa"/>
            <w:vAlign w:val="bottom"/>
          </w:tcPr>
          <w:p>
            <w:pPr>
              <w:spacing w:after="0"/>
              <w:rPr>
                <w:sz w:val="20"/>
                <w:szCs w:val="20"/>
                <w:color w:val="auto"/>
              </w:rPr>
            </w:pPr>
          </w:p>
        </w:tc>
        <w:tc>
          <w:tcPr>
            <w:tcW w:w="8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“Scheduled Closing Time” in the fourth line thereof.</w:t>
            </w:r>
          </w:p>
        </w:tc>
      </w:tr>
      <w:tr>
        <w:trPr>
          <w:trHeight w:val="682"/>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333" w:right="3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Regulatory Disruption:</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Any event that Dealer, in its reasonable discretion and in good faith, based on the advice of counsel,</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determines makes it appropriate with regard to any legal, regulatory or self-regulatory requirements</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or related policies and procedures for Dealer, that are generally applicable in similar situations and</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applied in a non-discriminatory manner, to refrain from or decrease any market activity in</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connection with the Transaction. Dealer shall notify Counterparty as soon as reasonably practicable</w:t>
            </w:r>
          </w:p>
        </w:tc>
      </w:tr>
      <w:tr>
        <w:trPr>
          <w:trHeight w:val="234"/>
        </w:trPr>
        <w:tc>
          <w:tcPr>
            <w:tcW w:w="3300" w:type="dxa"/>
            <w:vAlign w:val="bottom"/>
          </w:tcPr>
          <w:p>
            <w:pPr>
              <w:spacing w:after="0"/>
              <w:rPr>
                <w:sz w:val="20"/>
                <w:szCs w:val="20"/>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that a Regulatory Disruption has occurred and the Averaging Dates affected by it.</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Disrupted Day:</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definition of “Disrupted Day” in Section 6.4 of the Equity Definitions shall be amended by</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adding the following sentence after the first sentence: “A Scheduled Trading Day on which a Related</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Exchange fails to open during its regular trading session will not be a Disrupted Day if the</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Calculation Agent determines, in its commercially reasonable discretion, that such failure will not</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have a material adverse impact on Dealer’s ability to unwind any related hedging transactions related</w:t>
            </w:r>
          </w:p>
        </w:tc>
      </w:tr>
      <w:tr>
        <w:trPr>
          <w:trHeight w:val="234"/>
        </w:trPr>
        <w:tc>
          <w:tcPr>
            <w:tcW w:w="3300" w:type="dxa"/>
            <w:vAlign w:val="bottom"/>
          </w:tcPr>
          <w:p>
            <w:pPr>
              <w:spacing w:after="0"/>
              <w:rPr>
                <w:sz w:val="20"/>
                <w:szCs w:val="20"/>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 the Transaction.”.</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Non-Disrupted Day:</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 Exchange Business Day that is not a Disrupted Day.</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Procedure for Exercise:</w:t>
            </w:r>
          </w:p>
        </w:tc>
        <w:tc>
          <w:tcPr>
            <w:tcW w:w="7940" w:type="dxa"/>
            <w:vAlign w:val="bottom"/>
          </w:tcPr>
          <w:p>
            <w:pPr>
              <w:spacing w:after="0"/>
              <w:rPr>
                <w:sz w:val="24"/>
                <w:szCs w:val="24"/>
                <w:color w:val="auto"/>
              </w:rPr>
            </w:pP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Expiration Time:</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Expiration Date:</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41st Non-Disrupted Day following July 1, 2031</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Automatic Exercise:</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7940" w:type="dxa"/>
            <w:vAlign w:val="bottom"/>
          </w:tcPr>
          <w:p>
            <w:pPr>
              <w:spacing w:after="0"/>
              <w:rPr>
                <w:sz w:val="24"/>
                <w:szCs w:val="24"/>
                <w:color w:val="auto"/>
              </w:rPr>
            </w:pP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Valuation Time:</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At the close of trading on the Exchange, without regard to extended or after hours trading.</w:t>
            </w:r>
          </w:p>
        </w:tc>
      </w:tr>
      <w:tr>
        <w:trPr>
          <w:trHeight w:val="432"/>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Valuation Date:</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Expiration Date, subject to “Early Settlement” below.</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Averaging Dates:</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40 consecutive Non-Disrupted Days commencing on, and including, July 1, 2031, subject to</w:t>
            </w:r>
          </w:p>
        </w:tc>
      </w:tr>
      <w:tr>
        <w:trPr>
          <w:trHeight w:val="234"/>
        </w:trPr>
        <w:tc>
          <w:tcPr>
            <w:tcW w:w="3300" w:type="dxa"/>
            <w:vAlign w:val="bottom"/>
          </w:tcPr>
          <w:p>
            <w:pPr>
              <w:spacing w:after="0"/>
              <w:rPr>
                <w:sz w:val="20"/>
                <w:szCs w:val="20"/>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“Early Settlement” below.</w:t>
            </w:r>
          </w:p>
        </w:tc>
      </w:tr>
      <w:tr>
        <w:trPr>
          <w:trHeight w:val="414"/>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Averaging Date Disruption:</w:t>
            </w: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Modified Postponement;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the Equity</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Definitions and in addition to the provisions of Section 6.7(c)(iii) of the Equity Definitions, if any</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Averaging Date is a Disrupted Day, the Calculation Agent may, in its commercially reasonable</w:t>
            </w:r>
          </w:p>
        </w:tc>
      </w:tr>
      <w:tr>
        <w:trPr>
          <w:trHeight w:val="216"/>
        </w:trPr>
        <w:tc>
          <w:tcPr>
            <w:tcW w:w="3300" w:type="dxa"/>
            <w:vAlign w:val="bottom"/>
          </w:tcPr>
          <w:p>
            <w:pPr>
              <w:spacing w:after="0"/>
              <w:rPr>
                <w:sz w:val="18"/>
                <w:szCs w:val="18"/>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discretion, for each Averaging Date that is a Disrupted Day, assign the Scheduled Trading Date</w:t>
            </w:r>
          </w:p>
        </w:tc>
      </w:tr>
      <w:tr>
        <w:trPr>
          <w:trHeight w:val="234"/>
        </w:trPr>
        <w:tc>
          <w:tcPr>
            <w:tcW w:w="3300" w:type="dxa"/>
            <w:vAlign w:val="bottom"/>
          </w:tcPr>
          <w:p>
            <w:pPr>
              <w:spacing w:after="0"/>
              <w:rPr>
                <w:sz w:val="20"/>
                <w:szCs w:val="20"/>
                <w:color w:val="auto"/>
              </w:rPr>
            </w:pPr>
          </w:p>
        </w:tc>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immediately after the then last Averaging Date to be an additional Averaging Date.</w:t>
            </w:r>
          </w:p>
        </w:tc>
      </w:tr>
      <w:tr>
        <w:trPr>
          <w:trHeight w:val="655"/>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64" w:right="3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Terms:</w:t>
            </w:r>
          </w:p>
        </w:tc>
        <w:tc>
          <w:tcPr>
            <w:tcW w:w="7420" w:type="dxa"/>
            <w:vAlign w:val="bottom"/>
          </w:tcPr>
          <w:p>
            <w:pPr>
              <w:spacing w:after="0"/>
              <w:rPr>
                <w:sz w:val="20"/>
                <w:szCs w:val="20"/>
                <w:color w:val="auto"/>
              </w:rPr>
            </w:pPr>
          </w:p>
        </w:tc>
      </w:tr>
      <w:tr>
        <w:trPr>
          <w:trHeight w:val="432"/>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Currency:</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USD</w:t>
            </w:r>
          </w:p>
        </w:tc>
      </w:tr>
      <w:tr>
        <w:trPr>
          <w:trHeight w:val="432"/>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Restricted Certificated Shares:</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or this Confirmation, in</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of any Share delivery obligation it may have under the Transaction, Dealer may, in</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 or in part, deliver Shares in certificated form representing the Number of Shares to be</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Delivered to Counterparty in lieu of delivery through the Clearance System.</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Physical Settlement:</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Early Settlement, the terms of “Early Settlement” set</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forth in Section 5(h) shall apply.</w:t>
            </w:r>
          </w:p>
        </w:tc>
      </w:tr>
      <w:tr>
        <w:trPr>
          <w:trHeight w:val="432"/>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Date:</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date that is one Settlement Cycle immediately following the Valuation Date.</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Applicable Provisions in Respect of</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representations and agreements contained in Section 9.11 of the Equity Definitions shall be</w:t>
            </w:r>
          </w:p>
        </w:tc>
      </w:tr>
      <w:tr>
        <w:trPr>
          <w:trHeight w:val="216"/>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Physical Settlement:</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modified by excluding any representations therein relating to restrictions, obligations, limitations or</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requirements under applicable securities laws that exist as a result of the fact that Counterparty is the</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issuer of the Shares.</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Adjustments:</w:t>
            </w:r>
          </w:p>
        </w:tc>
        <w:tc>
          <w:tcPr>
            <w:tcW w:w="7420" w:type="dxa"/>
            <w:vAlign w:val="bottom"/>
          </w:tcPr>
          <w:p>
            <w:pPr>
              <w:spacing w:after="0"/>
              <w:rPr>
                <w:sz w:val="24"/>
                <w:szCs w:val="24"/>
                <w:color w:val="auto"/>
              </w:rPr>
            </w:pP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Method of Adjustment:</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 Agent Adjustment. For the avoidance of doubt, in the case of any dividend or</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of the type described in Sections 11.2(e)(i) or 11.2(e)(ii)(A) of the Equity Definitions,</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Calculation Agent shall make a proportional adjustment to the Number of Shares to reflect such</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or distribution.</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Extraordinary Dividend:</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dividend or distribution on the Shares with an ex-dividend date occurring during the period</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 and including, the Trade Date to, and including, the Expiration Date (other than any dividend</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distribution of the type described in Section 11.2(e)(i) or Section 11.2(e)(ii)(A) of the Equity</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Extraordinary Events:</w:t>
            </w:r>
          </w:p>
        </w:tc>
        <w:tc>
          <w:tcPr>
            <w:tcW w:w="7420" w:type="dxa"/>
            <w:vAlign w:val="bottom"/>
          </w:tcPr>
          <w:p>
            <w:pPr>
              <w:spacing w:after="0"/>
              <w:rPr>
                <w:sz w:val="24"/>
                <w:szCs w:val="24"/>
                <w:color w:val="auto"/>
              </w:rPr>
            </w:pP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Shares:</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the text in clause (i)</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shall be deleted in its entirety and replaced with “publicly quoted, traded or listed on any of the New</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York Stock Exchange, the Nasdaq Global Select Market, the Nasdaq Global Market or the Nasdaq</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Market (or their respective successors)”.</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Share-for-Share:</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definition of “Share-for-Share” in Section 12.1(f) of the Equity Definitions is hereby amended</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the deletion of the parenthetical in clause (i) thereof.</w:t>
            </w:r>
          </w:p>
        </w:tc>
      </w:tr>
      <w:tr>
        <w:trPr>
          <w:trHeight w:val="432"/>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 Merger Events:</w:t>
            </w:r>
          </w:p>
        </w:tc>
        <w:tc>
          <w:tcPr>
            <w:tcW w:w="7420" w:type="dxa"/>
            <w:vAlign w:val="bottom"/>
          </w:tcPr>
          <w:p>
            <w:pPr>
              <w:spacing w:after="0"/>
              <w:rPr>
                <w:sz w:val="24"/>
                <w:szCs w:val="24"/>
                <w:color w:val="auto"/>
              </w:rPr>
            </w:pPr>
          </w:p>
        </w:tc>
      </w:tr>
      <w:tr>
        <w:trPr>
          <w:trHeight w:val="432"/>
        </w:trPr>
        <w:tc>
          <w:tcPr>
            <w:tcW w:w="3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 Share-for-Share</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 Share-for-Other</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and Payment (Calculation Agent Determination)</w:t>
            </w:r>
          </w:p>
        </w:tc>
      </w:tr>
      <w:tr>
        <w:trPr>
          <w:trHeight w:val="655"/>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33"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 Share-for-Combined</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Component Adjustment</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Tender Offer:</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12.1(d) of the Equity Definitions shall be amended by replacing</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in the third line thereof with “20%”.</w:t>
            </w:r>
          </w:p>
        </w:tc>
      </w:tr>
      <w:tr>
        <w:trPr>
          <w:trHeight w:val="432"/>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 Tender Offers:</w:t>
            </w:r>
          </w:p>
        </w:tc>
        <w:tc>
          <w:tcPr>
            <w:tcW w:w="7420" w:type="dxa"/>
            <w:vAlign w:val="bottom"/>
          </w:tcPr>
          <w:p>
            <w:pPr>
              <w:spacing w:after="0"/>
              <w:rPr>
                <w:sz w:val="24"/>
                <w:szCs w:val="24"/>
                <w:color w:val="auto"/>
              </w:rPr>
            </w:pPr>
          </w:p>
        </w:tc>
      </w:tr>
      <w:tr>
        <w:trPr>
          <w:trHeight w:val="432"/>
        </w:trPr>
        <w:tc>
          <w:tcPr>
            <w:tcW w:w="3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 Share-for-Share</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 Share-for-Other</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 Share-for-Combined</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Modified Calculation Agent Adjustment:</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If, with respect to a Merger Event or a Tender Offer, (i) the consideration for the Shares includes (or,</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the option of a holder of Shares may include) shares of an entity or person that is not (1) a</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corporation or an entity that is treated as a corporation for U.S. federal income tax purposes or (2)</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or incorporated under the laws of the Cayman Islands or (ii) the Counterparty to the</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following such Merger Event or Tender Offer will not be a corporation or an entity that</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 treated as a corporation for U.S. federal income tax purposes registered or incorporated under the</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laws of the Cayman Islands, then, in any case, Cancellation and Payment (Calculation Agent</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Determination) may apply at Dealer’s commercially reasonable election.</w:t>
            </w:r>
          </w:p>
        </w:tc>
      </w:tr>
      <w:tr>
        <w:trPr>
          <w:trHeight w:val="414"/>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Composition of Combined Consideration:</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Not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Sections  12.5(b)  and  12.1(f)  of  the  Equity</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 to the extent that the composition of the consideration for the relevant Shares pursuant</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to a Tender Offer or Merger Event could be elected by an actual holder of the Shares, the Calculation</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 will, in its commercially reasonable discretion, determine such composition.</w:t>
            </w:r>
          </w:p>
        </w:tc>
      </w:tr>
      <w:tr>
        <w:trPr>
          <w:trHeight w:val="432"/>
        </w:trPr>
        <w:tc>
          <w:tcPr>
            <w:tcW w:w="3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and Payment (Calculation Agent Determination).</w:t>
            </w:r>
          </w:p>
        </w:tc>
      </w:tr>
      <w:tr>
        <w:trPr>
          <w:trHeight w:val="414"/>
        </w:trPr>
        <w:tc>
          <w:tcPr>
            <w:tcW w:w="3820" w:type="dxa"/>
            <w:vAlign w:val="bottom"/>
          </w:tcPr>
          <w:p>
            <w:pPr>
              <w:spacing w:after="0"/>
              <w:rPr>
                <w:sz w:val="24"/>
                <w:szCs w:val="24"/>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definition of “Delisting” in Section 12.6 of the Equity Definitions shall be deleted in its entirety</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replaced with the following: ‘“Delisting” means that the Exchange announces that pursuant to</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rules of such Exchange, the Shares cease (or will cease) to be listed, traded or publicly quoted on</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Exchange for any reason (other than a Merger Event or Tender Offer) and are not immediately</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re-listed, re-traded or re-quoted on any of the New York Stock Exchange, the Nasdaq Global Select</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the Nasdaq Global Market or the Nasdaq Capital Market (or their respective successors)”. If</w:t>
            </w:r>
          </w:p>
        </w:tc>
      </w:tr>
      <w:tr>
        <w:trPr>
          <w:trHeight w:val="216"/>
        </w:trPr>
        <w:tc>
          <w:tcPr>
            <w:tcW w:w="38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Shares are immediately re-listed, re-traded or re-quoted on any such exchange or quotation</w:t>
            </w:r>
          </w:p>
        </w:tc>
      </w:tr>
      <w:tr>
        <w:trPr>
          <w:trHeight w:val="234"/>
        </w:trPr>
        <w:tc>
          <w:tcPr>
            <w:tcW w:w="38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such exchange or quotation system shall thereafter be deemed to be the Exchange.</w:t>
            </w:r>
          </w:p>
        </w:tc>
      </w:tr>
      <w:tr>
        <w:trPr>
          <w:trHeight w:val="682"/>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337"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12.1(l) of the Equity Definitions is hereby amended by deleting subsection (v) thereof in its</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entirety and replacing it with “(v) in the case of an Insolvency, the date of (A) the institution of a</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proceeding or presentation of a petition or the passing of a resolution (or the convening of a meeting</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 pass a resolution or the proposing of a written resolution) (in each case the occurrence of which</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shall be deemed its announcement) that leads to an Insolvency within the meaning of subsection (A)</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 the definition thereof, (B) the first public announcement of the institution of a proceeding or</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presentation of a petition or passing of a resolution (or other analogous procedure in any jurisdiction)</w:t>
            </w:r>
          </w:p>
        </w:tc>
      </w:tr>
      <w:tr>
        <w:trPr>
          <w:trHeight w:val="214"/>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that leads to the Insolvency or (C) the occurrence of any of the events specified in Section 5(a)(vii)</w:t>
            </w:r>
          </w:p>
        </w:tc>
      </w:tr>
      <w:tr>
        <w:trPr>
          <w:trHeight w:val="218"/>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through (9) of the ISDA Master Agreement with respect to that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 dismissal, discharge, stay or restraint therein shall be increased from “within 15 days” to “within</w:t>
            </w:r>
          </w:p>
        </w:tc>
      </w:tr>
      <w:tr>
        <w:trPr>
          <w:trHeight w:val="234"/>
        </w:trPr>
        <w:tc>
          <w:tcPr>
            <w:tcW w:w="3280" w:type="dxa"/>
            <w:vAlign w:val="bottom"/>
          </w:tcPr>
          <w:p>
            <w:pPr>
              <w:spacing w:after="0"/>
              <w:rPr>
                <w:sz w:val="20"/>
                <w:szCs w:val="20"/>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30 days)”.</w:t>
            </w:r>
          </w:p>
        </w:tc>
      </w:tr>
      <w:tr>
        <w:trPr>
          <w:trHeight w:val="414"/>
        </w:trPr>
        <w:tc>
          <w:tcPr>
            <w:tcW w:w="3280" w:type="dxa"/>
            <w:vAlign w:val="bottom"/>
          </w:tcPr>
          <w:p>
            <w:pPr>
              <w:spacing w:after="0"/>
              <w:rPr>
                <w:sz w:val="24"/>
                <w:szCs w:val="24"/>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12.6(a)(ii) of the Equity Definitions is hereby amended by (1) inserting “(A)” after “means”</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 the first line thereof and replacing “(A)” and “(B)” in the third and fourth lines thereof with “(1)”</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and “(2)” respectively, (2) deleting from the fourth line thereof the word “or” after the word</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“official” and inserting a comma therefor, (3) inserting at the end of renumbered subsection (2)</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thereof the following wording, “or, under the laws of the Cayman Islands, any other jurisdiction or</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otherwise, any other impediment to or restriction on the transfer of any Share arises or becomes</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applicable including, without limitation, where (x) any transfer of a Share or alteration of the status</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of the members of the Issuer would be void unless a court of the Cayman Islands or any other</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jurisdiction orders otherwise or (y) any transfer of a Share not being a transfer with the sanction of a</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liquidator, and any alteration in the status of the Issuer’s members, would be void” and (4) deleting</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semi-colon at the end of renumbered subsection (2) thereof and inserting the following words</w:t>
            </w:r>
          </w:p>
        </w:tc>
      </w:tr>
      <w:tr>
        <w:trPr>
          <w:trHeight w:val="214"/>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therefor “or (B) at Dealer’s option, the occurrence of any of the events specified in Section 5(a)(vii)</w:t>
            </w:r>
          </w:p>
        </w:tc>
      </w:tr>
      <w:tr>
        <w:trPr>
          <w:trHeight w:val="218"/>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through (9) of the ISDA Master Agreement with respect to that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 dismissal, discharge, stay or restraint therein shall be increased from “within 15 days” to “within</w:t>
            </w:r>
          </w:p>
        </w:tc>
      </w:tr>
      <w:tr>
        <w:trPr>
          <w:trHeight w:val="234"/>
        </w:trPr>
        <w:tc>
          <w:tcPr>
            <w:tcW w:w="3280" w:type="dxa"/>
            <w:vAlign w:val="bottom"/>
          </w:tcPr>
          <w:p>
            <w:pPr>
              <w:spacing w:after="0"/>
              <w:rPr>
                <w:sz w:val="20"/>
                <w:szCs w:val="20"/>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30 days)”.</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Disruption Events:</w:t>
            </w:r>
          </w:p>
        </w:tc>
        <w:tc>
          <w:tcPr>
            <w:tcW w:w="7960" w:type="dxa"/>
            <w:vAlign w:val="bottom"/>
          </w:tcPr>
          <w:p>
            <w:pPr>
              <w:spacing w:after="0"/>
              <w:rPr>
                <w:sz w:val="24"/>
                <w:szCs w:val="24"/>
                <w:color w:val="auto"/>
              </w:rPr>
            </w:pP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Law:</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replacing the phrase “the interpretation” in the third line thereof with the phrase “, or public</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announcement of, the formal or informal interpretation”, (ii) replacing the word “Shares” where it</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appears in clause (X) thereof with the words “Hedge Position” and (iii) replacing the parenthetical</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beginning after the word “regulation” in the second line thereof the words “(including, for the</w:t>
            </w:r>
          </w:p>
        </w:tc>
      </w:tr>
      <w:tr>
        <w:trPr>
          <w:trHeight w:val="216"/>
        </w:trPr>
        <w:tc>
          <w:tcPr>
            <w:tcW w:w="3280" w:type="dxa"/>
            <w:vAlign w:val="bottom"/>
          </w:tcPr>
          <w:p>
            <w:pPr>
              <w:spacing w:after="0"/>
              <w:rPr>
                <w:sz w:val="18"/>
                <w:szCs w:val="18"/>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avoidance of doubt and without limitation, (x) any tax law or (y) adoption, effectiveness or</w:t>
            </w:r>
          </w:p>
        </w:tc>
      </w:tr>
      <w:tr>
        <w:trPr>
          <w:trHeight w:val="234"/>
        </w:trPr>
        <w:tc>
          <w:tcPr>
            <w:tcW w:w="3280" w:type="dxa"/>
            <w:vAlign w:val="bottom"/>
          </w:tcPr>
          <w:p>
            <w:pPr>
              <w:spacing w:after="0"/>
              <w:rPr>
                <w:sz w:val="20"/>
                <w:szCs w:val="20"/>
                <w:color w:val="auto"/>
              </w:rPr>
            </w:pP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promulgation of new regulations authorized or mandated by existing statute)”.</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Failure to Deliver:</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Insolvency Filing:</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Hedging Disruption:</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Increased Cost of Hedging:</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Applicable</w:t>
            </w:r>
          </w:p>
        </w:tc>
      </w:tr>
      <w:tr>
        <w:trPr>
          <w:trHeight w:val="682"/>
        </w:trPr>
        <w:tc>
          <w:tcPr>
            <w:tcW w:w="32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364" w:right="3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of Stock Borrow:</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Increased Cost of Stock Borrow:</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Hedging Party:</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Dealer shall be the Hedging Party for all applicable events</w:t>
            </w:r>
          </w:p>
        </w:tc>
      </w:tr>
      <w:tr>
        <w:trPr>
          <w:trHeight w:val="414"/>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Determining Party:</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making any determination or</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calculation as “Determining Party,” Dealer shall make such determinations or calculations in good</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faith and in a commercially reasonable manner.</w:t>
            </w:r>
          </w:p>
        </w:tc>
      </w:tr>
      <w:tr>
        <w:trPr>
          <w:trHeight w:val="414"/>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Information Rights: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Following any determination or calculation by the Determining Party, Hedging Party or Calculation</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Agent hereunder, the Determining Party, Hedging Party or Calculation Agent, as applicable, will,</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upon written request from Counterparty, promptly (but in any event within five Scheduled Trading</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Days) provide to Counterparty a report (in a commonly used file format for the storage and</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manipulation of financial data) displaying in reasonable detail the basis for such determination or</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calculation (including any assumptions used in making such determination or calculation), it being</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understood that in no event will the Determining Party, Hedging Party or Calculation Agent, as</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  be  obligated  to  share  with  Counterparty  any  proprietary  or  confidential  data  or</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or any proprietary or confidential models used by it in making such determination or</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calculation or any information that is subject to an obligation not to disclose such information.</w:t>
            </w:r>
          </w:p>
        </w:tc>
      </w:tr>
      <w:tr>
        <w:trPr>
          <w:trHeight w:val="414"/>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Hedging Adjustments: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the avoidance of doubt, whenever the Determining Party, Hedging Party or Calculation Agent is</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permitted or required to make an adjustment or a determination of any amount pursuant to the terms</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this Confirmation, the Equity Definitions or the Agreement to take into account the effect of any</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event, the Determining Party, Hedging Party or Calculation Agent, as the case may be, shall make</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such adjustment or determination by reference to the effect of such event on the Hedging Party,</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assuming that the Hedging Party maintains a commercially reasonable Hedge Position.</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Representations:</w:t>
            </w:r>
          </w:p>
        </w:tc>
        <w:tc>
          <w:tcPr>
            <w:tcW w:w="7660" w:type="dxa"/>
            <w:vAlign w:val="bottom"/>
          </w:tcPr>
          <w:p>
            <w:pPr>
              <w:spacing w:after="0"/>
              <w:rPr>
                <w:sz w:val="24"/>
                <w:szCs w:val="24"/>
                <w:color w:val="auto"/>
              </w:rPr>
            </w:pPr>
          </w:p>
        </w:tc>
      </w:tr>
      <w:tr>
        <w:trPr>
          <w:trHeight w:val="432"/>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Non-Reliance: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7660" w:type="dxa"/>
            <w:vAlign w:val="bottom"/>
          </w:tcPr>
          <w:p>
            <w:pPr>
              <w:spacing w:after="0"/>
              <w:rPr>
                <w:sz w:val="24"/>
                <w:szCs w:val="24"/>
                <w:color w:val="auto"/>
              </w:rPr>
            </w:pPr>
          </w:p>
        </w:tc>
      </w:tr>
      <w:tr>
        <w:trPr>
          <w:trHeight w:val="234"/>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655"/>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364" w:right="339" w:bottom="1440" w:gutter="0" w:footer="0" w:header="0"/>
        </w:sectPr>
      </w:pPr>
    </w:p>
    <w:bookmarkStart w:id="138" w:name="page139"/>
    <w:bookmarkEnd w:id="138"/>
    <w:p>
      <w:pPr>
        <w:ind w:left="980" w:hanging="324"/>
        <w:spacing w:after="0"/>
        <w:tabs>
          <w:tab w:leader="none" w:pos="9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Representations and Warranties of Counterparty: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representations and warranties of Counterparty set forth in Section 2 of the Purchase Agreement are true and correct and are hereby deemed to be repeated to Dealer as if set forth herein. In lieu of the representations set forth in Section 3(a) of the Agreement, Counterparty represents and warrants to Dealer on the date hereof and as of the Premium Payment Date that:</w:t>
      </w:r>
    </w:p>
    <w:p>
      <w:pPr>
        <w:spacing w:after="0" w:line="176" w:lineRule="exact"/>
        <w:rPr>
          <w:sz w:val="20"/>
          <w:szCs w:val="20"/>
          <w:color w:val="auto"/>
        </w:rPr>
      </w:pPr>
    </w:p>
    <w:p>
      <w:pPr>
        <w:jc w:val="both"/>
        <w:ind w:left="1300" w:hanging="320"/>
        <w:spacing w:after="0" w:line="253"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is duly incorporated and validly existing as an exempted company with limited liability under the laws of the Cayman Islands and is in good standing under such laws, and (ii) has all necessary corporate power and authority to execute, deliver and perform its obligations and exercise its rights in respect of the Transaction; such execution, delivery, performance and exercise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9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is not entering into the Transaction on behalf of or for the accounts of any other person or entity, and will not transfer or assign its obligations under the Transaction or any portion of such obligations to any other person or entity except in compliance with applicable laws and the terms of the Transaction;</w:t>
      </w:r>
    </w:p>
    <w:p>
      <w:pPr>
        <w:spacing w:after="0" w:line="202"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6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understands that the Transaction is subject to complex risks which may arise without warning and may at times be volatile, and that losses may occur quickly and in unanticipated magnitude; and (iii) it has consulted with its legal advisor(s) and has reached its own conclusions about the Transaction, and any legal, regulatory, tax, accounting or economic consequences arising from the Transaction.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Dealer nor any of its affiliates has advised it with respect to any legal, regulatory, tax, accounting or economic consequences arising from the Transaction, and neither Dealer nor any of its affiliates is acting as agent, fiduciary, or advisor for Counterparty in connection with the Transaction.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nor the exercise of rights of Counterparty hereunder will conflict with or result in a breach of the memorandum and articles of association or by-laws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has been duly approved and authorized by Counterparty’s board of directors after due consideration by the board of directors of the matters contemplated herein.</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entering into the Transaction to create actual or apparent trading activity in the Shares (or any security convertible into or exchangeable for Shares), or to manipulate the price of the Shares (or any security convertible into or exchangeable for Shares).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date hereof and on each day pursuant to the terms hereof on which this representation is repeated or deemed repeated, aware of any material non-public information with respect to Counterparty or the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jc w:val="both"/>
        <w:ind w:left="1300" w:hanging="320"/>
        <w:spacing w:after="0" w:line="254"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the assets of Counterparty at their fair valuation exceed the liabilities of Counterparty, including contingent liabilities, (B) the capital of Counterparty is adequate to conduct the business of Counterparty, (C) Counterparty has the ability to pay its debts and obligations as such debts mature and does not intend to, or does not believe that it will, incur debt beyond its ability to pay as such debts mature, (D) Counterparty is not, and will not be,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(E) Counterparty would be able to purchase Shares with an aggregate purchase price equal to the Premium in compliance with the laws of the jurisdiction of Counterparty’s incorporation or organization, and (F) for the purposes of Cayman Islands law, Counterparty is able to pay its debts.</w:t>
      </w:r>
    </w:p>
    <w:p>
      <w:pPr>
        <w:spacing w:after="0" w:line="218"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Counterparty,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(except for filings of Form 13F, Schedule 13D or Schedule 13G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a financial institution or broker-dealer or as required by Section 13 or Section 16 of the Exchange Act.</w:t>
      </w:r>
    </w:p>
    <w:p>
      <w:pPr>
        <w:spacing w:after="0" w:line="184"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Trade Date engaged in a distribution, as such term is used in Regulation M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any securities of Counterparty other than (i) a distribution meeting the requirements of the exception set forth in Rules 101(b)(10) and 102(b)(7) of Regulation M or (ii) a distribution of Shares as partial consideration for the exchange of a portion of Counterparty’s 8.50% Convertible Senior Notes due 2029 (as described in the Offering Memorandum for the Convertible Notes).</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that the offer and sale of the Transaction to it is intended to be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by virtue of Section 4(a)(2) thereof. Accordingly, Counterparty represents and warrants to Dealer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 is suitable for Counterparty, for its commercial benefit and in its best interests, in light of its own investment objectives, financial condition and expertise and (B) has been duly approved and authorized by the Counterparty’s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after due consideration by the Board of the foregoing matters and those referred to in sub-paragraph (b)(iii) above.</w:t>
      </w:r>
    </w:p>
    <w:p>
      <w:pPr>
        <w:spacing w:after="0" w:line="172" w:lineRule="exact"/>
        <w:rPr>
          <w:sz w:val="20"/>
          <w:szCs w:val="20"/>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Mutual Representations and Warranties: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representations set forth in the Agreement, each of Dealer and Counterparty further represents and warrants to the other party that as of the Trade Date that it is an “eligible contract participant” as the term is defined in the U.S. Commodity Exchange Act,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ind w:left="324" w:hanging="324"/>
        <w:spacing w:after="0"/>
        <w:tabs>
          <w:tab w:leader="none" w:pos="32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Covenants and Acknowledgements:</w:t>
      </w:r>
    </w:p>
    <w:p>
      <w:pPr>
        <w:spacing w:after="0" w:line="256" w:lineRule="exact"/>
        <w:rPr>
          <w:rFonts w:ascii="Times New Roman" w:cs="Times New Roman" w:eastAsia="Times New Roman" w:hAnsi="Times New Roman"/>
          <w:sz w:val="18"/>
          <w:szCs w:val="18"/>
          <w:b w:val="1"/>
          <w:bCs w:val="1"/>
          <w:color w:val="auto"/>
        </w:rPr>
      </w:pPr>
    </w:p>
    <w:p>
      <w:pPr>
        <w:jc w:val="both"/>
        <w:ind w:left="644" w:hanging="320"/>
        <w:spacing w:after="0" w:line="257" w:lineRule="auto"/>
        <w:tabs>
          <w:tab w:leader="none" w:pos="6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deliver to Dealer (A) an opinion of U.S. counsel and (B) an opinion of Cayman counsel each dated as of the Premium Payment Date, with respect to, the matters set forth in Sections 3(a)(i), (ii), (iii) and (iv) of the Agreement, it being understood that such opinions of counsel shall be limited to the federal laws of the United States and the laws of the State of New York (in the case of clause</w:t>
      </w:r>
    </w:p>
    <w:p>
      <w:pPr>
        <w:spacing w:after="0" w:line="1" w:lineRule="exact"/>
        <w:rPr>
          <w:rFonts w:ascii="Times New Roman" w:cs="Times New Roman" w:eastAsia="Times New Roman" w:hAnsi="Times New Roman"/>
          <w:sz w:val="18"/>
          <w:szCs w:val="18"/>
          <w:color w:val="auto"/>
        </w:rPr>
      </w:pPr>
    </w:p>
    <w:p>
      <w:pPr>
        <w:jc w:val="both"/>
        <w:ind w:left="644" w:firstLine="4"/>
        <w:spacing w:after="0" w:line="255" w:lineRule="auto"/>
        <w:tabs>
          <w:tab w:leader="none" w:pos="946"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the laws of the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w:t>
      </w:r>
    </w:p>
    <w:p>
      <w:pPr>
        <w:spacing w:after="0" w:line="185" w:lineRule="exact"/>
        <w:rPr>
          <w:rFonts w:ascii="Times New Roman" w:cs="Times New Roman" w:eastAsia="Times New Roman" w:hAnsi="Times New Roman"/>
          <w:sz w:val="18"/>
          <w:szCs w:val="18"/>
          <w:color w:val="auto"/>
        </w:rPr>
      </w:pPr>
    </w:p>
    <w:p>
      <w:pPr>
        <w:jc w:val="both"/>
        <w:ind w:left="644" w:hanging="320"/>
        <w:spacing w:after="0" w:line="258" w:lineRule="auto"/>
        <w:tabs>
          <w:tab w:leader="none" w:pos="6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Counterparty shall not engage in any distribution as such term is used in Regulation M of any securities of Counterparty or otherwise permit the Shares to be subject to a restricted period, as such term is used in Regulation M, in each case, during the period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from, and including, the scheduled first Averaging Date to, and including, the Valuation Date (determined without regard to any Early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the foregoing shall not apply with respect to any Early Settlement.</w:t>
      </w:r>
    </w:p>
    <w:p>
      <w:pPr>
        <w:spacing w:after="0" w:line="183" w:lineRule="exact"/>
        <w:rPr>
          <w:rFonts w:ascii="Times New Roman" w:cs="Times New Roman" w:eastAsia="Times New Roman" w:hAnsi="Times New Roman"/>
          <w:sz w:val="18"/>
          <w:szCs w:val="18"/>
          <w:color w:val="auto"/>
        </w:rPr>
      </w:pPr>
    </w:p>
    <w:p>
      <w:pPr>
        <w:jc w:val="both"/>
        <w:ind w:left="6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In connection with any Early Settlement, Counterparty shall notify Dealer, as soon as practicable, and in any event no later than the Exchange Business Day immediately following the Notice Date with respect to such Early Settlement, of any distribution or restricted period, as such terms are used in Regulation M with respect to any securities of Counterparty that is occurring on the date Counterparty delivers such notice to Dealer or that Counterparty expects at such time may occur on any Averaging Date or the Valuation Date relating to such Early Settlement. Counterparty acknowledges that any such distribution or restricted period may give rise to a Regulatory Disruption.</w:t>
      </w:r>
    </w:p>
    <w:p>
      <w:pPr>
        <w:spacing w:after="0" w:line="187" w:lineRule="exact"/>
        <w:rPr>
          <w:rFonts w:ascii="Times New Roman" w:cs="Times New Roman" w:eastAsia="Times New Roman" w:hAnsi="Times New Roman"/>
          <w:sz w:val="18"/>
          <w:szCs w:val="18"/>
          <w:color w:val="auto"/>
        </w:rPr>
      </w:pPr>
    </w:p>
    <w:p>
      <w:pPr>
        <w:jc w:val="both"/>
        <w:ind w:left="644" w:hanging="320"/>
        <w:spacing w:after="0" w:line="256" w:lineRule="auto"/>
        <w:tabs>
          <w:tab w:leader="none" w:pos="6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and on each day during the Restricted Period that is an Averaging Date or a Valuation Date, neither Counterparty nor any “affiliated purchaser” (each as defined in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3" w:lineRule="exact"/>
        <w:rPr>
          <w:rFonts w:ascii="Times New Roman" w:cs="Times New Roman" w:eastAsia="Times New Roman" w:hAnsi="Times New Roman"/>
          <w:sz w:val="18"/>
          <w:szCs w:val="18"/>
          <w:color w:val="auto"/>
        </w:rPr>
      </w:pPr>
    </w:p>
    <w:p>
      <w:pPr>
        <w:jc w:val="both"/>
        <w:ind w:left="644" w:hanging="320"/>
        <w:spacing w:after="0" w:line="256" w:lineRule="auto"/>
        <w:tabs>
          <w:tab w:leader="none" w:pos="6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739 of the Wall Street Transparency and Accountability Act 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8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225" w:lineRule="exact"/>
        <w:rPr>
          <w:rFonts w:ascii="Times New Roman" w:cs="Times New Roman" w:eastAsia="Times New Roman" w:hAnsi="Times New Roman"/>
          <w:sz w:val="18"/>
          <w:szCs w:val="18"/>
          <w:b w:val="1"/>
          <w:bCs w:val="1"/>
          <w:color w:val="auto"/>
        </w:rPr>
      </w:pPr>
    </w:p>
    <w:p>
      <w:pPr>
        <w:jc w:val="both"/>
        <w:ind w:left="644" w:hanging="320"/>
        <w:spacing w:after="0" w:line="254" w:lineRule="auto"/>
        <w:tabs>
          <w:tab w:leader="none" w:pos="6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and</w:t>
      </w:r>
    </w:p>
    <w:p>
      <w:pPr>
        <w:spacing w:after="0" w:line="3" w:lineRule="exact"/>
        <w:rPr>
          <w:rFonts w:ascii="Times New Roman" w:cs="Times New Roman" w:eastAsia="Times New Roman" w:hAnsi="Times New Roman"/>
          <w:sz w:val="18"/>
          <w:szCs w:val="18"/>
          <w:color w:val="auto"/>
        </w:rPr>
      </w:pPr>
    </w:p>
    <w:p>
      <w:pPr>
        <w:ind w:left="644" w:firstLine="4"/>
        <w:spacing w:after="0" w:line="260" w:lineRule="auto"/>
        <w:tabs>
          <w:tab w:leader="none" w:pos="944"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Dealer and its affiliates with respect to Shares may affect the market price and volatility of Shares, each in a manner that may be adverse to Counterparty.</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41" w:name="page142"/>
    <w:bookmarkEnd w:id="141"/>
    <w:p>
      <w:pPr>
        <w:ind w:left="320" w:hanging="320"/>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252"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all or any of its rights and obligations hereunder with respect to all, or any,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to (x) any Affiliate of Counterparty with prior written consent of Dealer and (y) to any third party that is not an Affiliate of Counterparty with the prior written consent of Dealer, such consent not to be unreasonably withheld;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withholding of such consent by Dealer shall not be considered unreasonable if such transfer or assignment does not meet any of the following conditions:</w:t>
      </w:r>
    </w:p>
    <w:p>
      <w:pPr>
        <w:spacing w:after="0" w:line="183" w:lineRule="exact"/>
        <w:rPr>
          <w:rFonts w:ascii="Times New Roman" w:cs="Times New Roman" w:eastAsia="Times New Roman" w:hAnsi="Times New Roman"/>
          <w:sz w:val="18"/>
          <w:szCs w:val="18"/>
          <w:color w:val="auto"/>
        </w:rPr>
      </w:pPr>
    </w:p>
    <w:p>
      <w:pPr>
        <w:ind w:left="980" w:hanging="332"/>
        <w:spacing w:after="0" w:line="282" w:lineRule="auto"/>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9(m) of this Confirmation;</w:t>
      </w:r>
    </w:p>
    <w:p>
      <w:pPr>
        <w:spacing w:after="0" w:line="161" w:lineRule="exact"/>
        <w:rPr>
          <w:rFonts w:ascii="Times New Roman" w:cs="Times New Roman" w:eastAsia="Times New Roman" w:hAnsi="Times New Roman"/>
          <w:sz w:val="18"/>
          <w:szCs w:val="18"/>
          <w:color w:val="auto"/>
        </w:rPr>
      </w:pPr>
    </w:p>
    <w:p>
      <w:pPr>
        <w:jc w:val="both"/>
        <w:ind w:left="980" w:hanging="332"/>
        <w:spacing w:after="0" w:line="261" w:lineRule="auto"/>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customary documentation by such third party and Counterparty, as are reasonably requested and reasonably satisfactory to Dealer;</w:t>
      </w:r>
    </w:p>
    <w:p>
      <w:pPr>
        <w:spacing w:after="0" w:line="179" w:lineRule="exact"/>
        <w:rPr>
          <w:rFonts w:ascii="Times New Roman" w:cs="Times New Roman" w:eastAsia="Times New Roman" w:hAnsi="Times New Roman"/>
          <w:sz w:val="18"/>
          <w:szCs w:val="18"/>
          <w:color w:val="auto"/>
        </w:rPr>
      </w:pPr>
    </w:p>
    <w:p>
      <w:pPr>
        <w:jc w:val="both"/>
        <w:ind w:left="980" w:hanging="332"/>
        <w:spacing w:after="0" w:line="255" w:lineRule="auto"/>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applicable law effective on the date of such transfer or assignment, (1) Dealer will not, as a result of such transfer or assignment, be required to pay the transferee or assignee on any payment date or delivery date an amount or a number of Shares, as applicable, under Section 2(d)(i)(4) of the Agreement greater than the amount or the number of Shares, as applicable, that Dealer would have been required to pay to Counterparty in the absence of such transfer or assignment and (2) Dealer will not, as a result of such transfer or assignment, receive from the transferee or assignee on any payment date an amount under Section 2(d)(i)(4) of the Agreement that is less than the amount that Dealer would have received from Counterparty in the absence of such transfer or assignment;</w:t>
      </w:r>
    </w:p>
    <w:p>
      <w:pPr>
        <w:spacing w:after="0" w:line="188"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Potential Event of Default or Termination Event will occur as a result of such transfer and assignment;</w:t>
      </w:r>
    </w:p>
    <w:p>
      <w:pPr>
        <w:spacing w:after="0" w:line="225" w:lineRule="exact"/>
        <w:rPr>
          <w:rFonts w:ascii="Times New Roman" w:cs="Times New Roman" w:eastAsia="Times New Roman" w:hAnsi="Times New Roman"/>
          <w:sz w:val="18"/>
          <w:szCs w:val="18"/>
          <w:color w:val="auto"/>
        </w:rPr>
      </w:pPr>
    </w:p>
    <w:p>
      <w:pPr>
        <w:jc w:val="both"/>
        <w:ind w:left="980" w:hanging="332"/>
        <w:spacing w:after="0" w:line="258" w:lineRule="auto"/>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cause the transferee to make such tax representations and to provide such tax documentation as may be reasonably requested by Dealer to permit Dealer to determine that results described in clauses (C) and (D) will not occur upon or after such transfer and assignment, including but not limited to providing tax documentation specified in Section 9(w) of this Confirmation and making the tax representations specified in Section 9(x) of this Confirmation on or prior to such transfer and at the other times specified in such Sections; and</w:t>
      </w:r>
    </w:p>
    <w:p>
      <w:pPr>
        <w:spacing w:after="0" w:line="183" w:lineRule="exact"/>
        <w:rPr>
          <w:rFonts w:ascii="Times New Roman" w:cs="Times New Roman" w:eastAsia="Times New Roman" w:hAnsi="Times New Roman"/>
          <w:sz w:val="18"/>
          <w:szCs w:val="18"/>
          <w:color w:val="auto"/>
        </w:rPr>
      </w:pPr>
    </w:p>
    <w:p>
      <w:pPr>
        <w:ind w:left="980" w:hanging="332"/>
        <w:spacing w:after="0" w:line="282" w:lineRule="auto"/>
        <w:tabs>
          <w:tab w:leader="none" w:pos="98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and documented costs and expenses, including reasonable documented out-of-pocket counsel fees, incurred by Dealer in connection with such transfer or assignment.</w:t>
      </w:r>
    </w:p>
    <w:p>
      <w:pPr>
        <w:spacing w:after="0" w:line="162" w:lineRule="exact"/>
        <w:rPr>
          <w:sz w:val="20"/>
          <w:szCs w:val="20"/>
          <w:color w:val="auto"/>
        </w:rPr>
      </w:pPr>
    </w:p>
    <w:p>
      <w:pPr>
        <w:jc w:val="both"/>
        <w:ind w:left="320" w:hanging="320"/>
        <w:spacing w:after="0" w:line="252" w:lineRule="auto"/>
        <w:tabs>
          <w:tab w:leader="none" w:pos="3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Dealer may, without Counterparty’s consent, transfer or assign all of its rights or obligations under the Transaction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such transfer or assignment, under the applicable law effective on the date of such transfer or assignment, (I) Counterparty will not, as a result of such transfer or assignment, be required to pay the transferee or assignee on any payment date an amount under Section 2(d)(i)(4) of the Agreement greater than the amount that Counterparty would have been required to pay to Dealer in the absence of such transfer or assignment; (II) Counterparty will not, as a result of such transfer or assignment, receive from the transferee or assignee on any payment or delivery date an amount or a number of Shares, as applicable, under Section 2(d)(i)(4) of the Agreement that is less than the amount or the number of Shares that Counterparty would have received from Dealer in the absence of such transfer or assignment; (III) Dealer shall cause the transferee or assignee to make such tax representations and to provide such tax documentation as may be reasonably requested by Counterparty to permit Counterparty to determine that events described in clauses (I) and (II) of this proviso will not occur upon or after such transfer or assignment; (IV) Dealer shall be responsible for all expenses, including reasonable documented out-of-pocket counsel fees, incurred by Counterparty in connection with such transfer or assignment; and (V) no Event of Default, Potential Event of Default or Termination Event will occur as a result of such transfer and assignment.</w:t>
      </w:r>
    </w:p>
    <w:p>
      <w:pPr>
        <w:spacing w:after="0" w:line="200" w:lineRule="exact"/>
        <w:rPr>
          <w:sz w:val="20"/>
          <w:szCs w:val="20"/>
          <w:color w:val="auto"/>
        </w:rPr>
      </w:pP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142" w:name="page143"/>
    <w:bookmarkEnd w:id="142"/>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If at any time at which (A) the Section 13 Percentage exceeds 9.0%,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 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to the extent necessary so that no Excess Ownership Position exists following such partial termination.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Times New Roman" w:cs="Times New Roman" w:eastAsia="Times New Roman" w:hAnsi="Times New Roman"/>
          <w:sz w:val="18"/>
          <w:szCs w:val="18"/>
          <w:b w:val="1"/>
          <w:bCs w:val="1"/>
          <w:color w:val="auto"/>
        </w:rPr>
        <w:t>Section 13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applies with respect to the Shares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commercially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143" w:name="page144"/>
    <w:bookmarkEnd w:id="143"/>
    <w:p>
      <w:pPr>
        <w:jc w:val="both"/>
        <w:ind w:left="320" w:hanging="320"/>
        <w:spacing w:after="0" w:line="259" w:lineRule="auto"/>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Notwithstanding any other provision in this Confirmation to the contrary requiring or allowing Dealer to purchase,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Collateral</w:t>
      </w:r>
      <w:r>
        <w:rPr>
          <w:rFonts w:ascii="Times New Roman" w:cs="Times New Roman" w:eastAsia="Times New Roman" w:hAnsi="Times New Roman"/>
          <w:sz w:val="18"/>
          <w:szCs w:val="18"/>
          <w:color w:val="auto"/>
        </w:rPr>
        <w:t>. No collateral is required to be posted by Counterparty or Dealer, in respect of the Transaction.</w:t>
      </w:r>
    </w:p>
    <w:p>
      <w:pPr>
        <w:spacing w:after="0" w:line="225" w:lineRule="exact"/>
        <w:rPr>
          <w:rFonts w:ascii="Times New Roman" w:cs="Times New Roman" w:eastAsia="Times New Roman" w:hAnsi="Times New Roman"/>
          <w:sz w:val="18"/>
          <w:szCs w:val="18"/>
          <w:color w:val="auto"/>
        </w:rPr>
      </w:pPr>
    </w:p>
    <w:p>
      <w:pPr>
        <w:jc w:val="both"/>
        <w:ind w:left="320" w:hanging="320"/>
        <w:spacing w:after="0" w:line="254" w:lineRule="auto"/>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Bankruptcy Code Provisions</w:t>
      </w:r>
      <w:r>
        <w:rPr>
          <w:rFonts w:ascii="Times New Roman" w:cs="Times New Roman" w:eastAsia="Times New Roman" w:hAnsi="Times New Roman"/>
          <w:sz w:val="18"/>
          <w:szCs w:val="18"/>
          <w:color w:val="auto"/>
        </w:rPr>
        <w:t>. Each of Dealer and Counterparty agrees and acknowledges that Dealer is one or more of a “swap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and/or “financial participant” within the meaning of Sections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“settlement payment,” as such term is defined in Section 741(8)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transfer of property” within the meaning of Sections 362 and 546 of the Bankruptcy Code, and (B) that Dealer is entitled to the protections afforded by, among other sections, Sections 362(b)(6), 362(b)(17), 362(b)(27), 362(o), 546(e), 546(g), 546(j), 555, 560 and 561 of the Bankruptcy Code.</w:t>
      </w:r>
    </w:p>
    <w:p>
      <w:pPr>
        <w:spacing w:after="0" w:line="185" w:lineRule="exact"/>
        <w:rPr>
          <w:rFonts w:ascii="Times New Roman" w:cs="Times New Roman" w:eastAsia="Times New Roman" w:hAnsi="Times New Roman"/>
          <w:sz w:val="18"/>
          <w:szCs w:val="18"/>
          <w:color w:val="auto"/>
        </w:rPr>
      </w:pPr>
    </w:p>
    <w:p>
      <w:pPr>
        <w:jc w:val="both"/>
        <w:ind w:left="320" w:hanging="320"/>
        <w:spacing w:after="0" w:line="254" w:lineRule="auto"/>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In the event the sale of the “Firm Notes” (as defined in the Purchase Agreement) is not consummated with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for any reason, or Counterparty fails to deliver to Dealer opinions of counsel as required pursuant to Section 5(a),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8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to Equity 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a material economic effect on the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(a) an observable market, other than the market for the Issuer’s own stock or (b) an observable index, other than an index calculated and measured solely by reference to the Issuer’s own operations.”</w:t>
      </w:r>
    </w:p>
    <w:p>
      <w:pPr>
        <w:spacing w:after="0" w:line="18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replacing “notice to the other party” with “notice to Counterparty” in the first sentence of such section.</w:t>
      </w:r>
    </w:p>
    <w:p>
      <w:pPr>
        <w:spacing w:after="0" w:line="20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Agreement is hereby amended by deleting the phrase “or e-mail” in the third line thereof.</w:t>
      </w:r>
    </w:p>
    <w:p>
      <w:pPr>
        <w:spacing w:after="0" w:line="200" w:lineRule="exact"/>
        <w:rPr>
          <w:sz w:val="20"/>
          <w:szCs w:val="20"/>
          <w:color w:val="auto"/>
        </w:rPr>
      </w:pPr>
    </w:p>
    <w:p>
      <w:pPr>
        <w:spacing w:after="0" w:line="2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60" w:right="339" w:bottom="1440" w:gutter="0" w:footer="0" w:header="0"/>
        </w:sectPr>
      </w:pPr>
    </w:p>
    <w:bookmarkStart w:id="144" w:name="page145"/>
    <w:bookmarkEnd w:id="144"/>
    <w:p>
      <w:pPr>
        <w:ind w:left="644" w:hanging="320"/>
        <w:spacing w:after="0"/>
        <w:tabs>
          <w:tab w:leader="none" w:pos="64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Settlement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964" w:hanging="316"/>
        <w:spacing w:after="0" w:line="268" w:lineRule="auto"/>
        <w:tabs>
          <w:tab w:leader="none" w:pos="96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may, from time to time on or after the 30th day following the Trade Date, settle the Transaction early (“</w:t>
      </w:r>
      <w:r>
        <w:rPr>
          <w:rFonts w:ascii="Times New Roman" w:cs="Times New Roman" w:eastAsia="Times New Roman" w:hAnsi="Times New Roman"/>
          <w:sz w:val="18"/>
          <w:szCs w:val="18"/>
          <w:b w:val="1"/>
          <w:bCs w:val="1"/>
          <w:color w:val="auto"/>
        </w:rPr>
        <w:t>Early Settlement</w:t>
      </w:r>
      <w:r>
        <w:rPr>
          <w:rFonts w:ascii="Times New Roman" w:cs="Times New Roman" w:eastAsia="Times New Roman" w:hAnsi="Times New Roman"/>
          <w:sz w:val="18"/>
          <w:szCs w:val="18"/>
          <w:color w:val="auto"/>
        </w:rPr>
        <w:t>”), in whole or in part, by delivering a written notice to Counterparty on any Exchange Business Day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specifying the portion of the Transaction to be settled early (the “</w:t>
      </w:r>
      <w:r>
        <w:rPr>
          <w:rFonts w:ascii="Times New Roman" w:cs="Times New Roman" w:eastAsia="Times New Roman" w:hAnsi="Times New Roman"/>
          <w:sz w:val="18"/>
          <w:szCs w:val="18"/>
          <w:b w:val="1"/>
          <w:bCs w:val="1"/>
          <w:color w:val="auto"/>
        </w:rPr>
        <w:t>Early Settled Portion</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Early Settled Portion, Dealer shall provide written notice to Counterparty on the Notice Date, specifying in such notice the Averaging Date(s) (if any), the number of Options with respect to each such Averaging Date and the Valuation Date in respect of such Early Settlement.</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Settlement Date relating to the specified Valuation Date with respect to such Early Settled Portion, Dealer will deliver to Counterparty a number of Shares equal to the product of (x) the sum of the number of Options comprising such Early Settled Portion,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Option Entitlement, and will pay to Counterparty in cash the Fractional Share Amount, if any.</w:t>
      </w:r>
    </w:p>
    <w:p>
      <w:pPr>
        <w:spacing w:after="0" w:line="175"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delivery and any such payment will be made through the relevant Clearance System on the applicable settlement dates;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avoidance of doubt, “Restricted Certificated Shares” above shall also apply with respect to Early Settlement.</w:t>
      </w:r>
    </w:p>
    <w:p>
      <w:pPr>
        <w:spacing w:after="0" w:line="15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color w:val="auto"/>
        </w:rPr>
      </w:pPr>
    </w:p>
    <w:p>
      <w:pPr>
        <w:jc w:val="both"/>
        <w:ind w:left="644" w:hanging="320"/>
        <w:spacing w:after="0" w:line="253" w:lineRule="auto"/>
        <w:tabs>
          <w:tab w:leader="none" w:pos="6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Extend</w:t>
      </w:r>
      <w:r>
        <w:rPr>
          <w:rFonts w:ascii="Times New Roman" w:cs="Times New Roman" w:eastAsia="Times New Roman" w:hAnsi="Times New Roman"/>
          <w:sz w:val="18"/>
          <w:szCs w:val="18"/>
          <w:color w:val="auto"/>
        </w:rPr>
        <w:t>. Dealer may postpone or extend, for as long as it is reasonably necessary, any Averaging Date, the Expiration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Settlement Date or any other date of payment or delivery by Dealer, with respect to some or all of the Options hereunder, if Dealer reasonably determines, in the case of clause (i) below, in its commercially reasonable judgment or, in the case of clause (ii) below, based on advice of counsel, that such action is reasonably necessary or appropriate (i) to preserve Dealer’s commercially reasonable hedging or hedge unwind activity hereunder in light of existing liquidity conditions in the relevant market (but only if there is a material decrease in liquidity relative to Dealer’s expectations on the Trade Date), or (ii) to enable Dealer to effect transactions with respect to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adopted by Dealer in good faith so long as such policies and procedures are generally applicable in similar situations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Averaging Date, the Expiration Date, the Settlement Date or any other date of payment or delivery by Dealer may be postponed or added more than 80 Scheduled Trading Days after the original Expiration Date, Settlement Date or any other date of payment or delivery by Dealer, as the case maybe.</w:t>
      </w:r>
    </w:p>
    <w:p>
      <w:pPr>
        <w:spacing w:after="0" w:line="187" w:lineRule="exact"/>
        <w:rPr>
          <w:rFonts w:ascii="Times New Roman" w:cs="Times New Roman" w:eastAsia="Times New Roman" w:hAnsi="Times New Roman"/>
          <w:sz w:val="18"/>
          <w:szCs w:val="18"/>
          <w:color w:val="auto"/>
        </w:rPr>
      </w:pPr>
    </w:p>
    <w:p>
      <w:pPr>
        <w:jc w:val="both"/>
        <w:ind w:left="644" w:hanging="320"/>
        <w:spacing w:after="0" w:line="259" w:lineRule="auto"/>
        <w:tabs>
          <w:tab w:leader="none" w:pos="64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“Nominal Settlement Date”), elect to deliver the Shares on two or more dates (each, a “Staggered Settlement Date”) as follows:</w:t>
      </w:r>
    </w:p>
    <w:p>
      <w:pPr>
        <w:spacing w:after="0" w:line="183" w:lineRule="exact"/>
        <w:rPr>
          <w:rFonts w:ascii="Times New Roman" w:cs="Times New Roman" w:eastAsia="Times New Roman" w:hAnsi="Times New Roman"/>
          <w:sz w:val="18"/>
          <w:szCs w:val="18"/>
          <w:color w:val="auto"/>
        </w:rPr>
      </w:pPr>
    </w:p>
    <w:p>
      <w:pPr>
        <w:jc w:val="both"/>
        <w:ind w:left="1284" w:hanging="326"/>
        <w:spacing w:after="0" w:line="266" w:lineRule="auto"/>
        <w:tabs>
          <w:tab w:leader="none" w:pos="1284" w:val="left"/>
        </w:tabs>
        <w:numPr>
          <w:ilvl w:val="3"/>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 and</w:t>
      </w:r>
    </w:p>
    <w:p>
      <w:pPr>
        <w:spacing w:after="0" w:line="175" w:lineRule="exact"/>
        <w:rPr>
          <w:rFonts w:ascii="Times New Roman" w:cs="Times New Roman" w:eastAsia="Times New Roman" w:hAnsi="Times New Roman"/>
          <w:sz w:val="18"/>
          <w:szCs w:val="18"/>
          <w:color w:val="auto"/>
        </w:rPr>
      </w:pPr>
    </w:p>
    <w:p>
      <w:pPr>
        <w:ind w:left="1284" w:right="20" w:hanging="326"/>
        <w:spacing w:after="0" w:line="282" w:lineRule="auto"/>
        <w:tabs>
          <w:tab w:leader="none" w:pos="1284" w:val="left"/>
        </w:tabs>
        <w:numPr>
          <w:ilvl w:val="3"/>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145" w:name="page146"/>
    <w:bookmarkEnd w:id="145"/>
    <w:p>
      <w:pPr>
        <w:jc w:val="both"/>
        <w:ind w:left="320" w:hanging="320"/>
        <w:spacing w:after="0" w:line="253" w:lineRule="auto"/>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Counterparty hereby agrees that if, in the good faith reasonable judgment of Dealer, based on the advice of counsel,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xml:space="preserve">”) acquired by Dealer for the purpose of commercially reasonably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customary for a registered secondary offering of a similar size in respect of a similar issuer;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diligence investigation, or the procedures and documentation for the registered offering referred to above, then clause (ii) or clause</w:t>
      </w:r>
    </w:p>
    <w:p>
      <w:pPr>
        <w:spacing w:after="0" w:line="4" w:lineRule="exact"/>
        <w:rPr>
          <w:rFonts w:ascii="Times New Roman" w:cs="Times New Roman" w:eastAsia="Times New Roman" w:hAnsi="Times New Roman"/>
          <w:sz w:val="18"/>
          <w:szCs w:val="18"/>
          <w:color w:val="auto"/>
        </w:rPr>
      </w:pPr>
    </w:p>
    <w:p>
      <w:pPr>
        <w:jc w:val="both"/>
        <w:ind w:left="320" w:firstLine="4"/>
        <w:spacing w:after="0" w:line="251" w:lineRule="auto"/>
        <w:tabs>
          <w:tab w:leader="none" w:pos="66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shall apply at the election of Counterparty, (ii) in order to allow Dealer to sell the Hedge Shares in a private placement, use commercially reasonable efforts to enter into a private placement agreement substantially similar to private placement purchase agreements customary for private placements of equity securities of a similar size in respect of a similar issuer, in form and substance reasonably satisfactory to Dealer (in which case, the Calculation Agent shall make any adjustments to the terms of the Transaction that are necessary, in its commercially reasonable judgment, to compensate Dealer for any commercially reasonable discount from the public market price of the Shares incurred on the sale of Hedge Shares in a private placement), or (iii) purchase the Hedge Shares from Dealer at the then-current market price on such Exchange Business Days, and in the amounts and at such time(s), reasonably requested by Dealer.</w:t>
      </w:r>
    </w:p>
    <w:p>
      <w:pPr>
        <w:spacing w:after="0" w:line="216" w:lineRule="exact"/>
        <w:rPr>
          <w:rFonts w:ascii="Times New Roman" w:cs="Times New Roman" w:eastAsia="Times New Roman" w:hAnsi="Times New Roman"/>
          <w:sz w:val="18"/>
          <w:szCs w:val="18"/>
          <w:color w:val="auto"/>
        </w:rPr>
      </w:pPr>
    </w:p>
    <w:p>
      <w:pPr>
        <w:jc w:val="both"/>
        <w:ind w:left="320" w:hanging="320"/>
        <w:spacing w:after="0" w:line="251" w:lineRule="auto"/>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Repurchase Notices. </w:t>
      </w:r>
      <w:r>
        <w:rPr>
          <w:rFonts w:ascii="Times New Roman" w:cs="Times New Roman" w:eastAsia="Times New Roman" w:hAnsi="Times New Roman"/>
          <w:sz w:val="18"/>
          <w:szCs w:val="18"/>
          <w:color w:val="auto"/>
        </w:rPr>
        <w:t>Counterparty shall, on or prior to the date that is one Scheduled Trading Day following any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Counterparty effects any repurchase of Shares, promptly give Dealer a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xml:space="preserve">”) on such day if following such repurchase, the number of outstanding Shares as determined on such day is (i) less than 147.8 million (in the case of the first such notice) or (ii) thereafter more than 4.3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 provide Dealer advance notice on or prior to any such day including the maximum number of Shares that may be repurchased under a repurchase program entered into in reliance on Rule 10b5-1(c) and the approximate periods during which such repurchases may occur, to the extent it expects that repurchases effected on such day may result in an obligation to deliver a Repurchase Notice (and in such case, any such advance notice shall be deemed a Repurchase Notice to the maximum extent of repurchases set forth in such advance notice as if Counterparty had executed such repurchases). Solely if Counterparty is required to deliver “repurchase notices” under any other agreements between Counterparty and Dealer entered into prior to the date hereof, which “repurchase notices” are similar in nature to the Repurchase Notices herein except with respect to thresholds described in clauses (i) and (ii) above, such requirements to deliver “repurchase notices” under such prior agreements shall be superseded by the requirement to deliver Repurchase Notices in the foregoing sentence. Counterparty agrees that, if Counterparty ceases to qualify as a “foreign private issuer” as defined in Rule 3b-4 under the Exchange Act or the Shares otherwise become subject to the requirements of Section 16 of the Exchange Act, Counterparty will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losses (including losses relating to Dealer’s commercially reasonable hedging activities as a consequence of becoming, or of the risk of becoming, a Section 16 “insider”, including without limitation, any forbearance from commercially reasonable hedging activities or cessation of commercially reasonable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out-of-pocket expenses (to the extent supported by invoices or other documentation setting forth in reasonable detail such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to the extent that the Indemnified Person fails to notify Counterparty within a commercially reasonable period of time after any action is commenced against it in respect of which indemnity may be sought hereunder. In addition, Counterparty shall not have liability for any settlement of any such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0" w:lineRule="exact"/>
        <w:rPr>
          <w:sz w:val="20"/>
          <w:szCs w:val="20"/>
          <w:color w:val="auto"/>
        </w:rPr>
      </w:pPr>
    </w:p>
    <w:p>
      <w:pPr>
        <w:spacing w:after="0" w:line="2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3" w:right="339" w:bottom="1440" w:gutter="0" w:footer="0" w:header="0"/>
        </w:sectPr>
      </w:pPr>
    </w:p>
    <w:bookmarkStart w:id="146" w:name="page147"/>
    <w:bookmarkEnd w:id="146"/>
    <w:p>
      <w:pPr>
        <w:ind w:left="1300" w:right="20" w:hanging="320"/>
        <w:spacing w:after="0" w:line="28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Notices. </w:t>
      </w:r>
      <w:r>
        <w:rPr>
          <w:rFonts w:ascii="Times New Roman" w:cs="Times New Roman" w:eastAsia="Times New Roman" w:hAnsi="Times New Roman"/>
          <w:sz w:val="18"/>
          <w:szCs w:val="18"/>
          <w:color w:val="auto"/>
        </w:rPr>
        <w:t>Counterparty shall provide a written notice to Dealer as promptly as practicable if Counterparty ceases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private issuer,” as such term is defined in Rule 3b-4 under the Exchange Act.</w:t>
      </w:r>
    </w:p>
    <w:p>
      <w:pPr>
        <w:spacing w:after="0" w:line="1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Currency. </w:t>
      </w:r>
      <w:r>
        <w:rPr>
          <w:rFonts w:ascii="Times New Roman" w:cs="Times New Roman" w:eastAsia="Times New Roman" w:hAnsi="Times New Roman"/>
          <w:sz w:val="18"/>
          <w:szCs w:val="18"/>
          <w:color w:val="auto"/>
        </w:rPr>
        <w:t>USD</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Alternative Calculations and Payment on Early Termination and on Certain Extraordinary Events. </w:t>
      </w:r>
      <w:r>
        <w:rPr>
          <w:rFonts w:ascii="Times New Roman" w:cs="Times New Roman" w:eastAsia="Times New Roman" w:hAnsi="Times New Roman"/>
          <w:sz w:val="18"/>
          <w:szCs w:val="18"/>
          <w:color w:val="auto"/>
        </w:rPr>
        <w:t>If Dealer shall owe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Counterparty any amount pursuant to “Consequences of Merger Events” above or Sections 12.6, 12.7 or 12.9 of the Equity Definitions or pursuant to Section 6(d)(ii) of the Agreement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xml:space="preserve">”), Dealer shall satisfy any such Payment Obligation by the Share Termination Alternative (as defined below) except in the event (i) of an Insolvency, a Nationalization, a Bankruptcy Event of Default under Section 5(a)(vii) of the Agreement or a Merger Event in which the consideration or proceeds to be paid to holders of Shares consists solely of cash, (ii) of a Merger Event or Tender Offer that is within Counterparty’s control, (iii) of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including any Event of Default resulting from a breach by Counterparty of its representations contained in paragraph (i) or (j) of the section “Additional Representations and Warranties of Counterparty” as of or immediately after the Trade Date or as of or immediately after the Premium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shall have the right, in its sole discretion, to elect to require Dealer to satisfy any Payment Obligation in cash by giving irrevocable telephonic notice to Dealer, confirmed in writing within one Scheduled Trading Day, no later than 9:30 A.M. New York City time on the relevant Merger Date, Announcement Date, Early Termination Date or date of cancellation or termination in respect of an Extraordinary Event, as applicable (“</w:t>
      </w:r>
      <w:r>
        <w:rPr>
          <w:rFonts w:ascii="Times New Roman" w:cs="Times New Roman" w:eastAsia="Times New Roman" w:hAnsi="Times New Roman"/>
          <w:sz w:val="18"/>
          <w:szCs w:val="18"/>
          <w:b w:val="1"/>
          <w:bCs w:val="1"/>
          <w:color w:val="auto"/>
        </w:rPr>
        <w:t>Notice of Cash Termination</w:t>
      </w:r>
      <w:r>
        <w:rPr>
          <w:rFonts w:ascii="Times New Roman" w:cs="Times New Roman" w:eastAsia="Times New Roman" w:hAnsi="Times New Roman"/>
          <w:sz w:val="18"/>
          <w:szCs w:val="18"/>
          <w:color w:val="auto"/>
        </w:rPr>
        <w:t xml:space="preserve">”) so long as Counterparty repeats the representations set forth in paragraph (i) of the section “Additional Representations and Warranties of Counterparty” as of the date of such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Dealer shall have the right, in its sole discretion, to elect to satisfy its Payment Obligation by the Share Termination Alternative, notwithstanding Counterparty’s election to require Dealer to satisfy any Payment Obligation in cash. The following provisions shall apply for the Share Termination Alternative on the Scheduled Trading Day immediately following the relevant merger date, Announcement Date, Early Termination Date or date of cancellation or termination in respect of an Extraordinary Event, as applicable: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 Termination Alternative:</w:t>
            </w:r>
          </w:p>
        </w:tc>
        <w:tc>
          <w:tcPr>
            <w:tcW w:w="72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Applicable. Dealer shall deliver to Counterparty the Share Termination Delivery Property on,</w:t>
            </w:r>
          </w:p>
        </w:tc>
      </w:tr>
      <w:tr>
        <w:trPr>
          <w:trHeight w:val="216"/>
        </w:trPr>
        <w:tc>
          <w:tcPr>
            <w:tcW w:w="4020" w:type="dxa"/>
            <w:vAlign w:val="bottom"/>
          </w:tcPr>
          <w:p>
            <w:pPr>
              <w:spacing w:after="0"/>
              <w:rPr>
                <w:sz w:val="18"/>
                <w:szCs w:val="18"/>
                <w:color w:val="auto"/>
              </w:rPr>
            </w:pPr>
          </w:p>
        </w:tc>
        <w:tc>
          <w:tcPr>
            <w:tcW w:w="7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 as promptly as commercially reasonably practicable thereafter, the date on which the</w:t>
            </w:r>
          </w:p>
        </w:tc>
      </w:tr>
      <w:tr>
        <w:trPr>
          <w:trHeight w:val="216"/>
        </w:trPr>
        <w:tc>
          <w:tcPr>
            <w:tcW w:w="4020" w:type="dxa"/>
            <w:vAlign w:val="bottom"/>
          </w:tcPr>
          <w:p>
            <w:pPr>
              <w:spacing w:after="0"/>
              <w:rPr>
                <w:sz w:val="18"/>
                <w:szCs w:val="18"/>
                <w:color w:val="auto"/>
              </w:rPr>
            </w:pPr>
          </w:p>
        </w:tc>
        <w:tc>
          <w:tcPr>
            <w:tcW w:w="7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Payment Obligation would otherwise be due pursuant to “Consequences of Merger Events”</w:t>
            </w:r>
          </w:p>
        </w:tc>
      </w:tr>
      <w:tr>
        <w:trPr>
          <w:trHeight w:val="216"/>
        </w:trPr>
        <w:tc>
          <w:tcPr>
            <w:tcW w:w="4020" w:type="dxa"/>
            <w:vAlign w:val="bottom"/>
          </w:tcPr>
          <w:p>
            <w:pPr>
              <w:spacing w:after="0"/>
              <w:rPr>
                <w:sz w:val="18"/>
                <w:szCs w:val="18"/>
                <w:color w:val="auto"/>
              </w:rPr>
            </w:pPr>
          </w:p>
        </w:tc>
        <w:tc>
          <w:tcPr>
            <w:tcW w:w="7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above, Section 12.7 or 12.9 of the Equity Definitions or Section 6(d)(ii) of the Agreement, as</w:t>
            </w:r>
          </w:p>
        </w:tc>
      </w:tr>
      <w:tr>
        <w:trPr>
          <w:trHeight w:val="234"/>
        </w:trPr>
        <w:tc>
          <w:tcPr>
            <w:tcW w:w="4020" w:type="dxa"/>
            <w:vAlign w:val="bottom"/>
          </w:tcPr>
          <w:p>
            <w:pPr>
              <w:spacing w:after="0"/>
              <w:rPr>
                <w:sz w:val="20"/>
                <w:szCs w:val="20"/>
                <w:color w:val="auto"/>
              </w:rPr>
            </w:pPr>
          </w:p>
        </w:tc>
        <w:tc>
          <w:tcPr>
            <w:tcW w:w="7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applicable, in satisfaction of the Payment Obligation.</w:t>
            </w:r>
          </w:p>
        </w:tc>
      </w:tr>
      <w:tr>
        <w:trPr>
          <w:trHeight w:val="682"/>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360"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 Termination Delivery Property:</w:t>
            </w: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equal  to  the  Payment  Obligation  divided  by  the  Share  Termination  Unit  Price.  The</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 Agent shall adjust the Share Termination Delivery Property by replacing any</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fractional portion of a security therein with an amount of cash equal to the value of such</w:t>
            </w:r>
          </w:p>
        </w:tc>
      </w:tr>
      <w:tr>
        <w:trPr>
          <w:trHeight w:val="234"/>
        </w:trPr>
        <w:tc>
          <w:tcPr>
            <w:tcW w:w="426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fractional security based on the values used to calculate the Share Termination Unit Price.</w:t>
            </w:r>
          </w:p>
        </w:tc>
      </w:tr>
      <w:tr>
        <w:trPr>
          <w:trHeight w:val="414"/>
        </w:trPr>
        <w:tc>
          <w:tcPr>
            <w:tcW w:w="4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 Termination Unit Price:</w:t>
            </w: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value of property contained in one Share Termination Delivery Unit on the date such</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Termination Delivery Units are delivered as Share Termination Delivery Property, as</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determined by the Calculation Agent in its commercially reasonable discretion and notified</w:t>
            </w:r>
          </w:p>
        </w:tc>
      </w:tr>
      <w:tr>
        <w:trPr>
          <w:trHeight w:val="234"/>
        </w:trPr>
        <w:tc>
          <w:tcPr>
            <w:tcW w:w="426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 the Calculation Agent to Dealer at the time of notification of the Payment Obligation.</w:t>
            </w:r>
          </w:p>
        </w:tc>
      </w:tr>
      <w:tr>
        <w:trPr>
          <w:trHeight w:val="414"/>
        </w:trPr>
        <w:tc>
          <w:tcPr>
            <w:tcW w:w="4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 Termination Delivery Unit:</w:t>
            </w: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the case of a Termination Event, Event of Default, Delisting, Tender Offer or Additional</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Disruption Event, one Share or, in the case of an Insolvency, Nationalization or Merger</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 one Share or a unit consisting of the number or amount of each type of property</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received by a holder of one Share (without consideration of any requirement to pay cash or</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consideration in lieu of fractional amounts of any securities) in such Insolvency,</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Nationalization or Merger Event, as applicable. If such Insolvency, Nationalization or Merger</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 involves a choice of consideration to be received by holders, such holder shall be</w:t>
            </w:r>
          </w:p>
        </w:tc>
      </w:tr>
      <w:tr>
        <w:trPr>
          <w:trHeight w:val="234"/>
        </w:trPr>
        <w:tc>
          <w:tcPr>
            <w:tcW w:w="426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deemed to have elected to receive the consideration specified by Dealer in its sole discretion.</w:t>
            </w:r>
          </w:p>
        </w:tc>
      </w:tr>
      <w:tr>
        <w:trPr>
          <w:trHeight w:val="432"/>
        </w:trPr>
        <w:tc>
          <w:tcPr>
            <w:tcW w:w="4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Failure to Deliver:</w:t>
            </w: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4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(except that the Representation and Agreement contained in Section 9.11 of the Equity</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Definitions shall be modified by excluding any representations therein relating to restrictions,</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limitations or requirements under applicable securities laws arising as a result of</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fact that Counterparty is the issuer of the Shares or any portion of the Share Termination</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Delivery Units) of the Equity Definitions will be applicable as if “Physical Settlement”</w:t>
            </w:r>
          </w:p>
        </w:tc>
      </w:tr>
      <w:tr>
        <w:trPr>
          <w:trHeight w:val="216"/>
        </w:trPr>
        <w:tc>
          <w:tcPr>
            <w:tcW w:w="426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applied to the Transaction, except that all references to “Shares” shall be read as references</w:t>
            </w:r>
          </w:p>
        </w:tc>
      </w:tr>
      <w:tr>
        <w:trPr>
          <w:trHeight w:val="234"/>
        </w:trPr>
        <w:tc>
          <w:tcPr>
            <w:tcW w:w="426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“Share Termination Delivery Units.”</w:t>
            </w:r>
          </w:p>
        </w:tc>
      </w:tr>
      <w:tr>
        <w:trPr>
          <w:trHeight w:val="682"/>
        </w:trPr>
        <w:tc>
          <w:tcPr>
            <w:tcW w:w="42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240"/>
          </w:cols>
          <w:pgMar w:left="320" w:top="364" w:right="339" w:bottom="1440" w:gutter="0" w:footer="0" w:header="0"/>
        </w:sectPr>
      </w:pPr>
    </w:p>
    <w:bookmarkStart w:id="148" w:name="page149"/>
    <w:bookmarkEnd w:id="148"/>
    <w:p>
      <w:pPr>
        <w:ind w:left="320" w:hanging="320"/>
        <w:spacing w:after="0"/>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Office.</w:t>
      </w:r>
    </w:p>
    <w:p>
      <w:pPr>
        <w:spacing w:after="0" w:line="25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2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Inapplicable, Dealer is not a Multibranch Party.</w:t>
      </w:r>
    </w:p>
    <w:p>
      <w:pPr>
        <w:spacing w:after="0" w:line="22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For purposes of the Agreement (unless otherwise specified in the Agreement), the addresses for notice to the parties shall be:</w:t>
      </w:r>
    </w:p>
    <w:p>
      <w:pPr>
        <w:spacing w:after="0" w:line="22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Counterparty:</w:t>
      </w:r>
    </w:p>
    <w:p>
      <w:pPr>
        <w:spacing w:after="0" w:line="225" w:lineRule="exact"/>
        <w:rPr>
          <w:rFonts w:ascii="Times New Roman" w:cs="Times New Roman" w:eastAsia="Times New Roman" w:hAnsi="Times New Roman"/>
          <w:sz w:val="18"/>
          <w:szCs w:val="18"/>
          <w:color w:val="auto"/>
        </w:rPr>
      </w:pPr>
    </w:p>
    <w:p>
      <w:pPr>
        <w:ind w:left="640" w:right="75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Technologies Group 08 Kallang Avenue Aperia tower 1, #09-03/04 Singapore 339509 Attention: [***] Telephone: [***]</w:t>
      </w:r>
    </w:p>
    <w:p>
      <w:pPr>
        <w:spacing w:after="0" w:line="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hanging="316"/>
        <w:spacing w:after="0"/>
        <w:tabs>
          <w:tab w:leader="none" w:pos="6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Dealer:</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Barclays Bank PLC</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Barclays Capital Inc.</w:t>
      </w:r>
    </w:p>
    <w:p>
      <w:pPr>
        <w:spacing w:after="0" w:line="9" w:lineRule="exact"/>
        <w:rPr>
          <w:rFonts w:ascii="Times New Roman" w:cs="Times New Roman" w:eastAsia="Times New Roman" w:hAnsi="Times New Roman"/>
          <w:sz w:val="18"/>
          <w:szCs w:val="18"/>
          <w:color w:val="auto"/>
        </w:rPr>
      </w:pPr>
    </w:p>
    <w:p>
      <w:pPr>
        <w:ind w:left="640" w:right="80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745 Seventh Avenue New York, NY 10019 Attention: [***] Telephone: [***] Email: [***]</w:t>
      </w:r>
    </w:p>
    <w:p>
      <w:pPr>
        <w:spacing w:after="0" w:line="18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9" w:lineRule="exact"/>
        <w:rPr>
          <w:rFonts w:ascii="Times New Roman" w:cs="Times New Roman" w:eastAsia="Times New Roman" w:hAnsi="Times New Roman"/>
          <w:sz w:val="18"/>
          <w:szCs w:val="18"/>
          <w:color w:val="auto"/>
        </w:rPr>
      </w:pPr>
    </w:p>
    <w:p>
      <w:pPr>
        <w:ind w:lef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that this is a group email address which may include one or more persons on the public side of Dealer. This group email address is only to be used for notifications sent to Dealer for this Transaction, this Confirmation and the Agreement.)</w:t>
      </w:r>
    </w:p>
    <w:p>
      <w:pPr>
        <w:spacing w:after="0" w:line="177" w:lineRule="exact"/>
        <w:rPr>
          <w:rFonts w:ascii="Times New Roman" w:cs="Times New Roman" w:eastAsia="Times New Roman" w:hAnsi="Times New Roman"/>
          <w:sz w:val="18"/>
          <w:szCs w:val="18"/>
          <w:color w:val="auto"/>
        </w:rPr>
      </w:pPr>
    </w:p>
    <w:p>
      <w:pPr>
        <w:jc w:val="both"/>
        <w:ind w:left="320" w:hanging="320"/>
        <w:spacing w:after="0" w:line="259"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Calculation Agent. </w:t>
      </w:r>
      <w:r>
        <w:rPr>
          <w:rFonts w:ascii="Times New Roman" w:cs="Times New Roman" w:eastAsia="Times New Roman" w:hAnsi="Times New Roman"/>
          <w:sz w:val="18"/>
          <w:szCs w:val="18"/>
          <w:color w:val="auto"/>
        </w:rPr>
        <w:t>Dealer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following the occurrence and during the continuance of an Event of Default under Section 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(vii) of the Agreement with respect to which Dealer is the Defaulting Party, Counterparty shall have the right to designate a nationally recognized independent equity derivatives dealer to replace Dealer as the Calculation Agent, and the parties shall work in good faith to execute any appropriate documentation required by such replacement Calculation Agent. The Calculation Agent shall make any adjustments, determinations or calculations in good faith and in a commercially reasonable manner.</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56"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JURY TRIAL. </w:t>
      </w:r>
      <w:r>
        <w:rPr>
          <w:rFonts w:ascii="Times New Roman" w:cs="Times New Roman" w:eastAsia="Times New Roman" w:hAnsi="Times New Roman"/>
          <w:sz w:val="18"/>
          <w:szCs w:val="18"/>
          <w:color w:val="auto"/>
        </w:rPr>
        <w:t>EACH PARTY WAIVES, TO THE FULLEST EXTENT PERMITTED BY APPLICABLE LAW,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IT 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82" w:lineRule="exact"/>
        <w:rPr>
          <w:rFonts w:ascii="Times New Roman" w:cs="Times New Roman" w:eastAsia="Times New Roman" w:hAnsi="Times New Roman"/>
          <w:sz w:val="18"/>
          <w:szCs w:val="18"/>
          <w:color w:val="auto"/>
        </w:rPr>
      </w:pPr>
    </w:p>
    <w:p>
      <w:pPr>
        <w:jc w:val="both"/>
        <w:ind w:left="320" w:hanging="320"/>
        <w:spacing w:after="0" w:line="262" w:lineRule="auto"/>
        <w:tabs>
          <w:tab w:leader="none" w:pos="3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Disclosure. </w:t>
      </w:r>
      <w:r>
        <w:rPr>
          <w:rFonts w:ascii="Times New Roman" w:cs="Times New Roman" w:eastAsia="Times New Roman" w:hAnsi="Times New Roman"/>
          <w:sz w:val="18"/>
          <w:szCs w:val="18"/>
          <w:color w:val="auto"/>
        </w:rPr>
        <w:t>Effective from the date of commencement of discussions concerning the Transaction, Counterparty and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200" w:lineRule="exact"/>
        <w:rPr>
          <w:sz w:val="20"/>
          <w:szCs w:val="20"/>
          <w:color w:val="auto"/>
        </w:rPr>
      </w:pPr>
    </w:p>
    <w:p>
      <w:pPr>
        <w:spacing w:after="0" w:line="2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60" w:right="339" w:bottom="1440" w:gutter="0" w:footer="0" w:header="0"/>
        </w:sectPr>
      </w:pPr>
    </w:p>
    <w:bookmarkStart w:id="149" w:name="page150"/>
    <w:bookmarkEnd w:id="149"/>
    <w:p>
      <w:pPr>
        <w:jc w:val="both"/>
        <w:ind w:left="320" w:hanging="320"/>
        <w:spacing w:after="0" w:line="254" w:lineRule="auto"/>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of Process</w:t>
      </w:r>
      <w:r>
        <w:rPr>
          <w:rFonts w:ascii="Times New Roman" w:cs="Times New Roman" w:eastAsia="Times New Roman" w:hAnsi="Times New Roman"/>
          <w:sz w:val="18"/>
          <w:szCs w:val="18"/>
          <w:color w:val="auto"/>
        </w:rPr>
        <w:t>. Counterparty irrevocably appoints Cogency Global Inc., located 122 E. 42nd Street, 18th Floor, New York,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10168, as its authorized agent upon which process may be served in any suit, action or proceeding 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five and a half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85" w:lineRule="exact"/>
        <w:rPr>
          <w:rFonts w:ascii="Times New Roman" w:cs="Times New Roman" w:eastAsia="Times New Roman" w:hAnsi="Times New Roman"/>
          <w:sz w:val="18"/>
          <w:szCs w:val="18"/>
          <w:color w:val="auto"/>
        </w:rPr>
      </w:pPr>
    </w:p>
    <w:p>
      <w:pPr>
        <w:jc w:val="both"/>
        <w:ind w:left="320" w:hanging="320"/>
        <w:spacing w:after="0" w:line="268" w:lineRule="auto"/>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Tax Forms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the generality of the foregoing, Counterparty will provide a U.S. Tax Form W-8BEN-E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of this Confirmation, promptly upon learning that any such tax form previously provided by it has become obsolete or incorrect and promptly upon reasonable demand by Dealer.</w:t>
      </w:r>
    </w:p>
    <w:p>
      <w:pPr>
        <w:spacing w:after="0" w:line="170" w:lineRule="exact"/>
        <w:rPr>
          <w:rFonts w:ascii="Times New Roman" w:cs="Times New Roman" w:eastAsia="Times New Roman" w:hAnsi="Times New Roman"/>
          <w:sz w:val="18"/>
          <w:szCs w:val="18"/>
          <w:color w:val="auto"/>
        </w:rPr>
      </w:pPr>
    </w:p>
    <w:p>
      <w:pPr>
        <w:jc w:val="both"/>
        <w:ind w:left="320" w:hanging="320"/>
        <w:spacing w:after="0" w:line="252" w:lineRule="auto"/>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Taxes, Foreign Account Tax Compliance Act and HIRE Act. </w:t>
      </w:r>
      <w:r>
        <w:rPr>
          <w:rFonts w:ascii="Times New Roman" w:cs="Times New Roman" w:eastAsia="Times New Roman" w:hAnsi="Times New Roman"/>
          <w:sz w:val="18"/>
          <w:szCs w:val="18"/>
          <w:color w:val="auto"/>
        </w:rPr>
        <w:t>Counterparty is classified as a corporation for the U.S. federal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purposes. No income received or to be received under the Agreement will be effectively connected with the conduct of a trade or business by Counterparty in the United States. Counterparty is a “non-U.S. branch of a foreign person” as that term is used in Section 1.1441-4(a)(3)(ii) of the United States Treasury Regulations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and it is a “foreign person” as that term is used in Section 1.6041-4(a)(4) of the Regulations. The term “Indemnifiable Tax” as defined in Section 14 of the Agreement shall not include any U.S. federal withholding tax imposed or collected pursuant to Sections 1471 through 1474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 The parties agree that the definitions and provisions contained in the ISDA 2015 Section 871(m) Protocol, as published by the International Swaps and Derivatives Association, Inc. and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shall apply to the Agreement as if the parties had adhered to the 871(m) Protocol as of the Trade Date. If there is any inconsistency between this provision and a provision in any other agreement executed between the parties, this provision shall prevail unless such other agreement expressly overrides the provisions of the 871(m) Protocol. Each of Dealer and Counterparty shall provide to the other party tax forms and documents required to be delivered pursuant to Sections 1471(b) or Section 1472(b)(1) of the Code promptly upon request by the other party and any other tax forms and documents they are legally able to provide that are reasonably requested by the other party.</w:t>
      </w:r>
    </w:p>
    <w:p>
      <w:pPr>
        <w:spacing w:after="0" w:line="191" w:lineRule="exact"/>
        <w:rPr>
          <w:rFonts w:ascii="Times New Roman" w:cs="Times New Roman" w:eastAsia="Times New Roman" w:hAnsi="Times New Roman"/>
          <w:sz w:val="18"/>
          <w:szCs w:val="18"/>
          <w:color w:val="auto"/>
        </w:rPr>
      </w:pPr>
    </w:p>
    <w:p>
      <w:pPr>
        <w:ind w:left="320" w:hanging="320"/>
        <w:spacing w:after="0" w:line="286" w:lineRule="auto"/>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applicable to transactions in options, and further agrees not to violate the position and exercise limits set forth therein.</w:t>
      </w:r>
    </w:p>
    <w:p>
      <w:pPr>
        <w:spacing w:after="0" w:line="154" w:lineRule="exact"/>
        <w:rPr>
          <w:rFonts w:ascii="Times New Roman" w:cs="Times New Roman" w:eastAsia="Times New Roman" w:hAnsi="Times New Roman"/>
          <w:sz w:val="18"/>
          <w:szCs w:val="18"/>
          <w:color w:val="auto"/>
        </w:rPr>
      </w:pPr>
    </w:p>
    <w:p>
      <w:pPr>
        <w:jc w:val="both"/>
        <w:ind w:left="320" w:hanging="320"/>
        <w:spacing w:after="0" w:line="268" w:lineRule="auto"/>
        <w:tabs>
          <w:tab w:leader="none" w:pos="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Disclosure Statement</w:t>
      </w:r>
      <w:r>
        <w:rPr>
          <w:rFonts w:ascii="Times New Roman" w:cs="Times New Roman" w:eastAsia="Times New Roman" w:hAnsi="Times New Roman"/>
          <w:sz w:val="18"/>
          <w:szCs w:val="18"/>
          <w:color w:val="auto"/>
        </w:rPr>
        <w:t>. Counterparty represents and warrants that it has received, read and understands the OTC Options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Statement provided by Dealer and a copy of the most recent disclosure pamphlet prepared by The Options Clearing Corporation entitled “</w:t>
      </w:r>
      <w:r>
        <w:rPr>
          <w:rFonts w:ascii="Times New Roman" w:cs="Times New Roman" w:eastAsia="Times New Roman" w:hAnsi="Times New Roman"/>
          <w:sz w:val="18"/>
          <w:szCs w:val="18"/>
          <w:i w:val="1"/>
          <w:iCs w:val="1"/>
          <w:color w:val="auto"/>
        </w:rPr>
        <w:t>Characteristics and Risks of Standardized Options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60" w:right="339" w:bottom="1440" w:gutter="0" w:footer="0" w:header="0"/>
        </w:sectPr>
      </w:pPr>
    </w:p>
    <w:bookmarkStart w:id="150" w:name="page151"/>
    <w:bookmarkEnd w:id="150"/>
    <w:p>
      <w:pPr>
        <w:ind w:left="440" w:hanging="440"/>
        <w:spacing w:after="0"/>
        <w:tabs>
          <w:tab w:leader="none" w:pos="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Role of Agent. </w:t>
      </w:r>
      <w:r>
        <w:rPr>
          <w:rFonts w:ascii="Times New Roman" w:cs="Times New Roman" w:eastAsia="Times New Roman" w:hAnsi="Times New Roman"/>
          <w:sz w:val="18"/>
          <w:szCs w:val="18"/>
          <w:color w:val="auto"/>
        </w:rPr>
        <w:t>Each of Dealer and Counterparty acknowledges to and agrees with the other party hereto and to and with the Agent that</w:t>
      </w:r>
    </w:p>
    <w:p>
      <w:pPr>
        <w:spacing w:after="0" w:line="31" w:lineRule="exact"/>
        <w:rPr>
          <w:rFonts w:ascii="Times New Roman" w:cs="Times New Roman" w:eastAsia="Times New Roman" w:hAnsi="Times New Roman"/>
          <w:sz w:val="18"/>
          <w:szCs w:val="18"/>
          <w:color w:val="auto"/>
        </w:rPr>
      </w:pPr>
    </w:p>
    <w:p>
      <w:pPr>
        <w:jc w:val="both"/>
        <w:ind w:left="440" w:firstLine="5"/>
        <w:spacing w:after="0" w:line="251" w:lineRule="auto"/>
        <w:tabs>
          <w:tab w:leader="none" w:pos="65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acting as agent for Dealer under the Transaction pursuant to instructions from such party, (ii) the Agent is not a principal or party to the Transaction, and may transfer its rights and obligations with respect to the Transaction, (iii) the Agent shall have no responsibility, obligation or liability, by way of issuance, guaranty, endorsement or otherwise in any manner with respect to the performance of either party under the Transaction,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 (v) each party agrees to proceed solely against the other party, and not the Agent, to collect or recover any money or securities owed to it in connection with the Transaction. Each party hereto acknowledges and agrees that the Agent is an intended third party beneficiary hereunder. Counterparty acknowledges that the Agent is an affiliate of Dealer. Dealer will be acting for its own account in respect of this Confirmation and the Transaction contemplated hereunder.</w:t>
      </w:r>
    </w:p>
    <w:p>
      <w:pPr>
        <w:spacing w:after="0" w:line="188" w:lineRule="exact"/>
        <w:rPr>
          <w:rFonts w:ascii="Times New Roman" w:cs="Times New Roman" w:eastAsia="Times New Roman" w:hAnsi="Times New Roman"/>
          <w:sz w:val="18"/>
          <w:szCs w:val="18"/>
          <w:color w:val="auto"/>
        </w:rPr>
      </w:pPr>
    </w:p>
    <w:p>
      <w:pPr>
        <w:jc w:val="both"/>
        <w:ind w:left="440" w:hanging="440"/>
        <w:spacing w:after="0" w:line="253" w:lineRule="auto"/>
        <w:tabs>
          <w:tab w:leader="none" w:pos="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Counterparty acknowledges that the Transaction may constitute a purchase of its equity securities. Counterparty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pursuant to the provisions of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the Counterparty would be required to agree to certain time-bound restrictions on its ability to purchase its equity securities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if it receives loans, loan guarantees or direct loans (as that term is defined in the CARES Act) under programs or facilities established by the Board of Governors of the Federal Reserve System for the purpose of providing liquidity to the financial system (together with loans, loan guarantees or direct loans under section 4003(b) of the CARES Act, “</w:t>
      </w:r>
      <w:r>
        <w:rPr>
          <w:rFonts w:ascii="Times New Roman" w:cs="Times New Roman" w:eastAsia="Times New Roman" w:hAnsi="Times New Roman"/>
          <w:sz w:val="18"/>
          <w:szCs w:val="18"/>
          <w:b w:val="1"/>
          <w:bCs w:val="1"/>
          <w:color w:val="auto"/>
        </w:rPr>
        <w:t>Governmental Financial Assistance</w:t>
      </w:r>
      <w:r>
        <w:rPr>
          <w:rFonts w:ascii="Times New Roman" w:cs="Times New Roman" w:eastAsia="Times New Roman" w:hAnsi="Times New Roman"/>
          <w:sz w:val="18"/>
          <w:szCs w:val="18"/>
          <w:color w:val="auto"/>
        </w:rPr>
        <w:t>”). Accordingly, Counterparty represents and warrants that it has not applied for, and prior to the termination or settlement of this Transaction shall not receive Governmental Financial Assistance under any governmental program or facility that (a) is established under the CARES Act or the Federal Reserve Act, as amended, and (b) requires, as a condition of such Governmental Financial Assistance, that the Counterparty agree, attest, certify or warrant that it has not, as of the date specified in such condition, repurchased, or will not repurchase, any equity security of Counterparty.</w:t>
      </w:r>
    </w:p>
    <w:p>
      <w:pPr>
        <w:spacing w:after="0" w:line="187" w:lineRule="exact"/>
        <w:rPr>
          <w:rFonts w:ascii="Times New Roman" w:cs="Times New Roman" w:eastAsia="Times New Roman" w:hAnsi="Times New Roman"/>
          <w:sz w:val="18"/>
          <w:szCs w:val="18"/>
          <w:color w:val="auto"/>
        </w:rPr>
      </w:pPr>
    </w:p>
    <w:p>
      <w:pPr>
        <w:jc w:val="both"/>
        <w:ind w:left="440" w:hanging="440"/>
        <w:spacing w:after="0" w:line="268" w:lineRule="auto"/>
        <w:tabs>
          <w:tab w:leader="none" w:pos="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Provisions. </w:t>
      </w:r>
      <w:r>
        <w:rPr>
          <w:rFonts w:ascii="Times New Roman" w:cs="Times New Roman" w:eastAsia="Times New Roman" w:hAnsi="Times New Roman"/>
          <w:sz w:val="18"/>
          <w:szCs w:val="18"/>
          <w:color w:val="auto"/>
        </w:rPr>
        <w:t>The time of dealing for the Transaction will be confirmed by Dealer upon written request by Counterparty.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will furnish to Counterparty upon written request a statement as to the source and amount of any remuneration received or to be received by the Agent in connection with a Transaction.</w:t>
      </w:r>
    </w:p>
    <w:p>
      <w:pPr>
        <w:spacing w:after="0" w:line="170" w:lineRule="exact"/>
        <w:rPr>
          <w:rFonts w:ascii="Times New Roman" w:cs="Times New Roman" w:eastAsia="Times New Roman" w:hAnsi="Times New Roman"/>
          <w:sz w:val="18"/>
          <w:szCs w:val="18"/>
          <w:color w:val="auto"/>
        </w:rPr>
      </w:pPr>
    </w:p>
    <w:p>
      <w:pPr>
        <w:jc w:val="both"/>
        <w:ind w:left="440" w:hanging="440"/>
        <w:spacing w:after="0" w:line="255" w:lineRule="auto"/>
        <w:tabs>
          <w:tab w:leader="none" w:pos="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EMIR Portfolio Reconciliation, Dispute Resolution and Disclosure Protocol</w:t>
      </w:r>
      <w:r>
        <w:rPr>
          <w:rFonts w:ascii="Times New Roman" w:cs="Times New Roman" w:eastAsia="Times New Roman" w:hAnsi="Times New Roman"/>
          <w:sz w:val="18"/>
          <w:szCs w:val="18"/>
          <w:color w:val="auto"/>
        </w:rPr>
        <w:t>. The parties agree that the terms of the 2020 UK EMIR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Reconciliation, Dispute Resolution and Disclosure Protocol published by ISDA on 17 December 2020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apply to the Agreement as if the parties had adhered to the Protocol without amendment. In respect of the Attachment to the Protocol, (i) the definition of “Adherence Letter” shall be deemed to be deleted and references to “Adherence Letter” shall be deemed to be to this section (and references to “such party’s Adherence Letter” and “its Adherence Letter” shall be read accordingly), (ii) references to “adheres to the Protocol” shall be deemed to be “enters into the Agreement”, (iii) references to “Protocol Covered Agreement” shall be deemed to be references to the Agreement (and each “Protocol Covered Agreement” shall be read accordingly), and (iv) references to “Implementation Date” shall be deemed to be references to the date of this Confirmation. For the purposes of this section:</w:t>
      </w:r>
    </w:p>
    <w:p>
      <w:pPr>
        <w:spacing w:after="0" w:line="188"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is a Portfolio Data Sending Entity and Counterparty is a Portfolio Data Receiving Entity.</w:t>
      </w:r>
    </w:p>
    <w:p>
      <w:pPr>
        <w:spacing w:after="0" w:line="225" w:lineRule="exact"/>
        <w:rPr>
          <w:rFonts w:ascii="Times New Roman" w:cs="Times New Roman" w:eastAsia="Times New Roman" w:hAnsi="Times New Roman"/>
          <w:sz w:val="18"/>
          <w:szCs w:val="18"/>
          <w:color w:val="auto"/>
        </w:rPr>
      </w:pPr>
    </w:p>
    <w:p>
      <w:pPr>
        <w:jc w:val="both"/>
        <w:ind w:left="760" w:hanging="315"/>
        <w:spacing w:after="0" w:line="266" w:lineRule="auto"/>
        <w:tabs>
          <w:tab w:leader="none" w:pos="7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Counterparty may use a Third Party Service Provider, and each of Dealer and Counterparty consents to such use including the communication of the relevant data in relation to Dealer and Counterparty to such Third Party Service Provider for the purposes of the reconciliation services provided by such entity.</w:t>
      </w:r>
    </w:p>
    <w:p>
      <w:pPr>
        <w:spacing w:after="0" w:line="200" w:lineRule="exact"/>
        <w:rPr>
          <w:sz w:val="20"/>
          <w:szCs w:val="20"/>
          <w:color w:val="auto"/>
        </w:rPr>
      </w:pPr>
    </w:p>
    <w:p>
      <w:pPr>
        <w:spacing w:after="0" w:line="21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60" w:right="339" w:bottom="1440" w:gutter="0" w:footer="0" w:header="0"/>
        </w:sectPr>
      </w:pPr>
    </w:p>
    <w:bookmarkStart w:id="151" w:name="page152"/>
    <w:bookmarkEnd w:id="151"/>
    <w:p>
      <w:pPr>
        <w:ind w:left="1100" w:hanging="331"/>
        <w:spacing w:after="0"/>
        <w:tabs>
          <w:tab w:leader="none" w:pos="11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Local Business Days for such purposes in relation to Dealer and Counterparty is New York.</w:t>
      </w:r>
    </w:p>
    <w:p>
      <w:pPr>
        <w:spacing w:after="0" w:line="236" w:lineRule="exact"/>
        <w:rPr>
          <w:rFonts w:ascii="Times New Roman" w:cs="Times New Roman" w:eastAsia="Times New Roman" w:hAnsi="Times New Roman"/>
          <w:sz w:val="17"/>
          <w:szCs w:val="17"/>
          <w:color w:val="auto"/>
        </w:rPr>
      </w:pPr>
    </w:p>
    <w:p>
      <w:pPr>
        <w:ind w:left="1100" w:hanging="331"/>
        <w:spacing w:after="0"/>
        <w:tabs>
          <w:tab w:leader="none" w:pos="11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applicable email addresses.</w:t>
      </w:r>
    </w:p>
    <w:p>
      <w:pPr>
        <w:sectPr>
          <w:pgSz w:w="11900" w:h="16838" w:orient="portrait"/>
          <w:cols w:equalWidth="0" w:num="1">
            <w:col w:w="10260"/>
          </w:cols>
          <w:pgMar w:left="1300" w:top="364" w:right="339" w:bottom="1440" w:gutter="0" w:footer="0" w:header="0"/>
        </w:sect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Portfolio Data: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Dealer: [***]</w:t>
      </w:r>
    </w:p>
    <w:p>
      <w:pPr>
        <w:spacing w:after="0" w:line="211" w:lineRule="exact"/>
        <w:rPr>
          <w:sz w:val="20"/>
          <w:szCs w:val="20"/>
          <w:color w:val="auto"/>
        </w:rPr>
      </w:pPr>
    </w:p>
    <w:p>
      <w:pPr>
        <w:sectPr>
          <w:pgSz w:w="11900" w:h="16838" w:orient="portrait"/>
          <w:cols w:equalWidth="0" w:num="2">
            <w:col w:w="3920" w:space="720"/>
            <w:col w:w="5620"/>
          </w:cols>
          <w:pgMar w:left="1300" w:top="364" w:right="339" w:bottom="1440" w:gutter="0" w:footer="0" w:header="0"/>
          <w:type w:val="continuous"/>
        </w:sectPr>
      </w:pP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Counterparty: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920" w:space="720"/>
            <w:col w:w="5620"/>
          </w:cols>
          <w:pgMar w:left="1300" w:top="364" w:right="339" w:bottom="1440" w:gutter="0" w:footer="0" w:header="0"/>
          <w:type w:val="continuous"/>
        </w:sectPr>
      </w:pP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Notice of discrepancy: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Dealer: [***]</w:t>
      </w:r>
    </w:p>
    <w:p>
      <w:pPr>
        <w:spacing w:after="0" w:line="211" w:lineRule="exact"/>
        <w:rPr>
          <w:sz w:val="20"/>
          <w:szCs w:val="20"/>
          <w:color w:val="auto"/>
        </w:rPr>
      </w:pPr>
    </w:p>
    <w:p>
      <w:pPr>
        <w:sectPr>
          <w:pgSz w:w="11900" w:h="16838" w:orient="portrait"/>
          <w:cols w:equalWidth="0" w:num="2">
            <w:col w:w="3920" w:space="720"/>
            <w:col w:w="5620"/>
          </w:cols>
          <w:pgMar w:left="1300" w:top="364" w:right="339" w:bottom="1440" w:gutter="0" w:footer="0" w:header="0"/>
          <w:type w:val="continuous"/>
        </w:sectPr>
      </w:pP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Counterparty: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920" w:space="720"/>
            <w:col w:w="5620"/>
          </w:cols>
          <w:pgMar w:left="1300" w:top="364" w:right="339" w:bottom="1440" w:gutter="0" w:footer="0" w:header="0"/>
          <w:type w:val="continuous"/>
        </w:sectPr>
      </w:pP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Dispute Notice: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Dealer: [***]</w:t>
      </w:r>
    </w:p>
    <w:p>
      <w:pPr>
        <w:spacing w:after="0" w:line="211" w:lineRule="exact"/>
        <w:rPr>
          <w:sz w:val="20"/>
          <w:szCs w:val="20"/>
          <w:color w:val="auto"/>
        </w:rPr>
      </w:pPr>
    </w:p>
    <w:p>
      <w:pPr>
        <w:sectPr>
          <w:pgSz w:w="11900" w:h="16838" w:orient="portrait"/>
          <w:cols w:equalWidth="0" w:num="2">
            <w:col w:w="3920" w:space="720"/>
            <w:col w:w="5620"/>
          </w:cols>
          <w:pgMar w:left="1300" w:top="364" w:right="339" w:bottom="1440" w:gutter="0" w:footer="0" w:header="0"/>
          <w:type w:val="continuous"/>
        </w:sectPr>
      </w:pP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Counterparty: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920" w:space="720"/>
            <w:col w:w="5620"/>
          </w:cols>
          <w:pgMar w:left="1300" w:top="364" w:right="339" w:bottom="1440" w:gutter="0" w:footer="0" w:header="0"/>
          <w:type w:val="continuous"/>
        </w:sectPr>
      </w:pPr>
    </w:p>
    <w:p>
      <w:pPr>
        <w:spacing w:after="0" w:line="21" w:lineRule="exact"/>
        <w:rPr>
          <w:sz w:val="20"/>
          <w:szCs w:val="20"/>
          <w:color w:val="auto"/>
        </w:rPr>
      </w:pPr>
    </w:p>
    <w:p>
      <w:pPr>
        <w:jc w:val="both"/>
        <w:ind w:left="440" w:hanging="440"/>
        <w:spacing w:after="0" w:line="268" w:lineRule="auto"/>
        <w:tabs>
          <w:tab w:leader="none" w:pos="4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NFC Representation</w:t>
      </w:r>
      <w:r>
        <w:rPr>
          <w:rFonts w:ascii="Times New Roman" w:cs="Times New Roman" w:eastAsia="Times New Roman" w:hAnsi="Times New Roman"/>
          <w:sz w:val="18"/>
          <w:szCs w:val="18"/>
          <w:color w:val="auto"/>
        </w:rPr>
        <w:t>. Counterparty represents and warrants to Dealer (which representation and warranty will be deemed to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Agreement and repeated at all times while any “Transaction” under any Confirmation under the Agreement remains outstanding, unless the Counterparty notifies the Dealer promptly otherwise of any change in its status from that represented) that:</w:t>
      </w:r>
    </w:p>
    <w:p>
      <w:pPr>
        <w:spacing w:after="0" w:line="170" w:lineRule="exact"/>
        <w:rPr>
          <w:rFonts w:ascii="Times New Roman" w:cs="Times New Roman" w:eastAsia="Times New Roman" w:hAnsi="Times New Roman"/>
          <w:sz w:val="18"/>
          <w:szCs w:val="18"/>
          <w:color w:val="auto"/>
        </w:rPr>
      </w:pPr>
    </w:p>
    <w:p>
      <w:pPr>
        <w:jc w:val="both"/>
        <w:ind w:left="760" w:hanging="315"/>
        <w:spacing w:after="0" w:line="257" w:lineRule="auto"/>
        <w:tabs>
          <w:tab w:leader="none" w:pos="7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entity established outside the European Union and the United Kingdom of Great Britain and Northern Ireland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that would constitute (i) a non-financial counterparty (as such term is defined in Regulation (EU) No 648/2012 of the European Parliament and of the Council on OTC derivatives, central counterparties and trade repositories dated 4 July 2012 (“</w:t>
      </w:r>
      <w:r>
        <w:rPr>
          <w:rFonts w:ascii="Times New Roman" w:cs="Times New Roman" w:eastAsia="Times New Roman" w:hAnsi="Times New Roman"/>
          <w:sz w:val="18"/>
          <w:szCs w:val="18"/>
          <w:b w:val="1"/>
          <w:bCs w:val="1"/>
          <w:color w:val="auto"/>
        </w:rPr>
        <w:t>EMIR</w:t>
      </w:r>
      <w:r>
        <w:rPr>
          <w:rFonts w:ascii="Times New Roman" w:cs="Times New Roman" w:eastAsia="Times New Roman" w:hAnsi="Times New Roman"/>
          <w:sz w:val="18"/>
          <w:szCs w:val="18"/>
          <w:color w:val="auto"/>
        </w:rPr>
        <w:t>”)) if it were established in the European Union, and (ii) a non-financial counterparty (as defined in EMIR as it forms part of 'retained EU law' (as defined in the European Union (Withdrawal) Act 2018 (as amended from time to time)) (“</w:t>
      </w:r>
      <w:r>
        <w:rPr>
          <w:rFonts w:ascii="Times New Roman" w:cs="Times New Roman" w:eastAsia="Times New Roman" w:hAnsi="Times New Roman"/>
          <w:sz w:val="18"/>
          <w:szCs w:val="18"/>
          <w:b w:val="1"/>
          <w:bCs w:val="1"/>
          <w:color w:val="auto"/>
        </w:rPr>
        <w:t>UK EMIR</w:t>
      </w:r>
      <w:r>
        <w:rPr>
          <w:rFonts w:ascii="Times New Roman" w:cs="Times New Roman" w:eastAsia="Times New Roman" w:hAnsi="Times New Roman"/>
          <w:sz w:val="18"/>
          <w:szCs w:val="18"/>
          <w:color w:val="auto"/>
        </w:rPr>
        <w:t>”)) if it were established in the United Kingdom; and</w:t>
      </w:r>
    </w:p>
    <w:p>
      <w:pPr>
        <w:spacing w:after="0" w:line="186" w:lineRule="exact"/>
        <w:rPr>
          <w:rFonts w:ascii="Times New Roman" w:cs="Times New Roman" w:eastAsia="Times New Roman" w:hAnsi="Times New Roman"/>
          <w:sz w:val="18"/>
          <w:szCs w:val="18"/>
          <w:color w:val="auto"/>
        </w:rPr>
      </w:pPr>
    </w:p>
    <w:p>
      <w:pPr>
        <w:jc w:val="both"/>
        <w:ind w:left="760" w:right="20" w:hanging="315"/>
        <w:spacing w:after="0" w:line="266" w:lineRule="auto"/>
        <w:tabs>
          <w:tab w:leader="none" w:pos="7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the trade, the entity would not have executed a sufficient amount of derivative activity such that the month-end average notional during the previous 12 months would classify the entity as exceeding the "clearing" threshold, as established by EMIR or UK EMIR, as relevant, if the entity were established in the European Union or the United Kingdom.</w:t>
      </w:r>
    </w:p>
    <w:p>
      <w:pPr>
        <w:spacing w:after="0" w:line="171" w:lineRule="exact"/>
        <w:rPr>
          <w:rFonts w:ascii="Times New Roman" w:cs="Times New Roman" w:eastAsia="Times New Roman" w:hAnsi="Times New Roman"/>
          <w:sz w:val="18"/>
          <w:szCs w:val="18"/>
          <w:color w:val="auto"/>
        </w:rPr>
      </w:pPr>
    </w:p>
    <w:p>
      <w:pPr>
        <w:jc w:val="both"/>
        <w:ind w:left="440" w:hanging="440"/>
        <w:spacing w:after="0" w:line="262" w:lineRule="auto"/>
        <w:tabs>
          <w:tab w:leader="none" w:pos="4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Bail-in Protocol</w:t>
      </w:r>
      <w:r>
        <w:rPr>
          <w:rFonts w:ascii="Times New Roman" w:cs="Times New Roman" w:eastAsia="Times New Roman" w:hAnsi="Times New Roman"/>
          <w:sz w:val="18"/>
          <w:szCs w:val="18"/>
          <w:color w:val="auto"/>
        </w:rPr>
        <w:t>. The parties agree that the provisions set out in the attachment (the “</w:t>
      </w: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to the ISDA 2016 Bail-in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 BRRD Protocol (Dutch/French/German/Irish/Italian/Luxembourg/Spanish/UK entity-in-resolution version) are incorporated into and form part of the Agreement, provided that the definition of “UK Bail-in Power” in the Attachment shall be deleted and replaced with the following definition:</w:t>
      </w:r>
    </w:p>
    <w:p>
      <w:pPr>
        <w:spacing w:after="0" w:line="180"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18"/>
          <w:szCs w:val="18"/>
          <w:color w:val="auto"/>
        </w:rPr>
        <w:t>“UK Bail-in Power” means any write-down or conversion power existing from time to time (including, without limitation, any power to amend or alter the maturity of eligible liabilities of an institution under resolution or amend the amount of interest payable under such eligible liabilities or the date on which interest becomes payable, including by suspending payment for a temporary period) under, and exercised in compliance with, any laws, regulations, rules or requirements (together,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in effect in the United Kingdom, including but not limited to, the Banking Act 2009 as amended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the instruments, rules and standards created thereunder, pursuant to which the obligations of a regulated entity (or other affiliate of a regulated entity) can be reduced (including to zero), cancelled or converted into shares, other securities, or other obligations of such regulated entity or any other person.</w:t>
      </w:r>
    </w:p>
    <w:p>
      <w:pPr>
        <w:spacing w:after="0" w:line="192" w:lineRule="exact"/>
        <w:rPr>
          <w:sz w:val="20"/>
          <w:szCs w:val="20"/>
          <w:color w:val="auto"/>
        </w:rPr>
      </w:pPr>
    </w:p>
    <w:p>
      <w:pPr>
        <w:jc w:val="both"/>
        <w:ind w:left="1040"/>
        <w:spacing w:after="0" w:line="261" w:lineRule="auto"/>
        <w:rPr>
          <w:sz w:val="20"/>
          <w:szCs w:val="20"/>
          <w:color w:val="auto"/>
        </w:rPr>
      </w:pPr>
      <w:r>
        <w:rPr>
          <w:rFonts w:ascii="Times New Roman" w:cs="Times New Roman" w:eastAsia="Times New Roman" w:hAnsi="Times New Roman"/>
          <w:sz w:val="18"/>
          <w:szCs w:val="18"/>
          <w:color w:val="auto"/>
        </w:rPr>
        <w:t>A reference to a “regulated entity” is to any BRRD Undertaking as such term is defined under the PRA Rulebook promulgated by the United Kingdom Prudential Regulation Authority or to any person falling within IFPRU 11.6, of the FCA Handbook promulgated by the United Kingdom Financial Conduct Authority, both as amended from time to time, which includes, certain credit institutions, investment firms, and certain of their parent or holding companies.</w:t>
      </w:r>
    </w:p>
    <w:p>
      <w:pPr>
        <w:spacing w:after="0" w:line="180" w:lineRule="exact"/>
        <w:rPr>
          <w:sz w:val="20"/>
          <w:szCs w:val="20"/>
          <w:color w:val="auto"/>
        </w:rPr>
      </w:pPr>
    </w:p>
    <w:p>
      <w:pPr>
        <w:jc w:val="both"/>
        <w:ind w:left="1040"/>
        <w:spacing w:after="0" w:line="266" w:lineRule="auto"/>
        <w:rPr>
          <w:sz w:val="20"/>
          <w:szCs w:val="20"/>
          <w:color w:val="auto"/>
        </w:rPr>
      </w:pPr>
      <w:r>
        <w:rPr>
          <w:rFonts w:ascii="Times New Roman" w:cs="Times New Roman" w:eastAsia="Times New Roman" w:hAnsi="Times New Roman"/>
          <w:sz w:val="18"/>
          <w:szCs w:val="18"/>
          <w:color w:val="auto"/>
        </w:rPr>
        <w:t>The Agreement shall be deemed a “Protocol Covered Agreement” for the purposes of the Attachment and the Implementation Date for the purposes of the Attachment shall be deemed to be the date of this Confirmation. In the event of any inconsistencies between the Attachment and the other provisions of the Agreement, the Attachment will prevail.</w:t>
      </w:r>
    </w:p>
    <w:p>
      <w:pPr>
        <w:spacing w:after="0" w:line="172" w:lineRule="exact"/>
        <w:rPr>
          <w:sz w:val="20"/>
          <w:szCs w:val="20"/>
          <w:color w:val="auto"/>
        </w:rPr>
      </w:pPr>
    </w:p>
    <w:p>
      <w:pPr>
        <w:jc w:val="both"/>
        <w:ind w:left="760" w:hanging="436"/>
        <w:spacing w:after="0" w:line="256" w:lineRule="auto"/>
        <w:tabs>
          <w:tab w:leader="none" w:pos="7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Contractual Recognition of UK Stay Resolution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Agreement, the parties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the 2020 UK (PRA Rule) Jurisdictional Module (the “</w:t>
      </w:r>
      <w:r>
        <w:rPr>
          <w:rFonts w:ascii="Times New Roman" w:cs="Times New Roman" w:eastAsia="Times New Roman" w:hAnsi="Times New Roman"/>
          <w:sz w:val="18"/>
          <w:szCs w:val="18"/>
          <w:b w:val="1"/>
          <w:bCs w:val="1"/>
          <w:color w:val="auto"/>
        </w:rPr>
        <w:t>UK Module</w:t>
      </w:r>
      <w:r>
        <w:rPr>
          <w:rFonts w:ascii="Times New Roman" w:cs="Times New Roman" w:eastAsia="Times New Roman" w:hAnsi="Times New Roman"/>
          <w:sz w:val="18"/>
          <w:szCs w:val="18"/>
          <w:color w:val="auto"/>
        </w:rPr>
        <w:t>”) published by the International Swaps and Derivatives Association, Inc. on 22 December 2020, as amended from time to time, shall be deemed to be incorporated into the Agreement as if references in those provisions to “Covered Agreement” were references to the Agreement, and on the basis that: (i) Dealer shall be treated as a “Regulated Entity” and as a “Regulated Entity Counterparty” with respect to Counterparty, (ii) Counterparty shall be treated as a “Module Adhering Party”, and (iii) references to the “Implementation Date” in the UK Module shall be deemed to be the date of this Confirmation.</w:t>
      </w:r>
    </w:p>
    <w:p>
      <w:pPr>
        <w:spacing w:after="0" w:line="200" w:lineRule="exact"/>
        <w:rPr>
          <w:sz w:val="20"/>
          <w:szCs w:val="20"/>
          <w:color w:val="auto"/>
        </w:rPr>
      </w:pPr>
    </w:p>
    <w:p>
      <w:pPr>
        <w:spacing w:after="0" w:line="23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64" w:right="339" w:bottom="1440" w:gutter="0" w:footer="0" w:header="0"/>
          <w:type w:val="continuous"/>
        </w:sectPr>
      </w:pPr>
    </w:p>
    <w:bookmarkStart w:id="152" w:name="page153"/>
    <w:bookmarkEnd w:id="152"/>
    <w:p>
      <w:pPr>
        <w:ind w:right="159"/>
        <w:spacing w:after="0" w:line="498"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Confirmation and returning it to Dealer. Yours sincerely,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Faiz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Faiz Khan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[Signature Page to Zero-Strike Call]</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Jihan Wu</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8"/>
          <w:szCs w:val="18"/>
          <w:color w:val="auto"/>
        </w:rPr>
        <w:t>[Signature Page to Zero-Strike Call]</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1)"/>
      <w:numFmt w:val="lowerLetter"/>
      <w:start w:val="1"/>
    </w:lvl>
  </w:abstractNum>
  <w:abstractNum w:abstractNumId="2">
    <w:nsid w:val="15014ACB"/>
    <w:multiLevelType w:val="hybridMultilevel"/>
    <w:lvl w:ilvl="0">
      <w:lvlJc w:val="left"/>
      <w:lvlText w:val="(%1)"/>
      <w:numFmt w:val="lowerLetter"/>
      <w:start w:val="3"/>
    </w:lvl>
  </w:abstractNum>
  <w:abstractNum w:abstractNumId="3">
    <w:nsid w:val="5F5E7FD0"/>
    <w:multiLevelType w:val="hybridMultilevel"/>
    <w:lvl w:ilvl="0">
      <w:lvlJc w:val="left"/>
      <w:lvlText w:val="(%1)"/>
      <w:numFmt w:val="lowerLetter"/>
      <w:start w:val="1"/>
    </w:lvl>
  </w:abstractNum>
  <w:abstractNum w:abstractNumId="4">
    <w:nsid w:val="98A3148"/>
    <w:multiLevelType w:val="hybridMultilevel"/>
    <w:lvl w:ilvl="0">
      <w:lvlJc w:val="left"/>
      <w:lvlText w:val="(%1)"/>
      <w:numFmt w:val="lowerLetter"/>
      <w:start w:val="1"/>
    </w:lvl>
  </w:abstractNum>
  <w:abstractNum w:abstractNumId="5">
    <w:nsid w:val="799D0247"/>
    <w:multiLevelType w:val="hybridMultilevel"/>
    <w:lvl w:ilvl="0">
      <w:lvlJc w:val="left"/>
      <w:lvlText w:val="(%1)"/>
      <w:numFmt w:val="lowerRoman"/>
      <w:start w:val="10"/>
    </w:lvl>
  </w:abstractNum>
  <w:abstractNum w:abstractNumId="6">
    <w:nsid w:val="6B94764"/>
    <w:multiLevelType w:val="hybridMultilevel"/>
    <w:lvl w:ilvl="0">
      <w:lvlJc w:val="left"/>
      <w:lvlText w:val="(%1)"/>
      <w:numFmt w:val="lowerLetter"/>
      <w:start w:val="1"/>
    </w:lvl>
  </w:abstractNum>
  <w:abstractNum w:abstractNumId="7">
    <w:nsid w:val="42C296BD"/>
    <w:multiLevelType w:val="hybridMultilevel"/>
    <w:lvl w:ilvl="0">
      <w:lvlJc w:val="left"/>
      <w:lvlText w:val="(%1)"/>
      <w:numFmt w:val="lowerRoman"/>
      <w:start w:val="1"/>
    </w:lvl>
  </w:abstractNum>
  <w:abstractNum w:abstractNumId="8">
    <w:nsid w:val="168E121F"/>
    <w:multiLevelType w:val="hybridMultilevel"/>
    <w:lvl w:ilvl="0">
      <w:lvlJc w:val="left"/>
      <w:lvlText w:val="%1"/>
      <w:numFmt w:val="lowerLetter"/>
      <w:start w:val="1"/>
    </w:lvl>
    <w:lvl w:ilvl="1">
      <w:lvlJc w:val="left"/>
      <w:lvlText w:val="(%2)"/>
      <w:numFmt w:val="lowerLetter"/>
      <w:start w:val="1"/>
    </w:lvl>
  </w:abstractNum>
  <w:abstractNum w:abstractNumId="9">
    <w:nsid w:val="1EBA5D23"/>
    <w:multiLevelType w:val="hybridMultilevel"/>
    <w:lvl w:ilvl="0">
      <w:lvlJc w:val="left"/>
      <w:lvlText w:val="(%1)"/>
      <w:numFmt w:val="lowerLetter"/>
      <w:start w:val="35"/>
    </w:lvl>
    <w:lvl w:ilvl="1">
      <w:lvlJc w:val="left"/>
      <w:lvlText w:val="%2"/>
      <w:numFmt w:val="lowerLetter"/>
      <w:start w:val="1"/>
    </w:lvl>
  </w:abstractNum>
  <w:abstractNum w:abstractNumId="10">
    <w:nsid w:val="661E3F1E"/>
    <w:multiLevelType w:val="hybridMultilevel"/>
    <w:lvl w:ilvl="0">
      <w:lvlJc w:val="left"/>
      <w:lvlText w:val="(%1)"/>
      <w:numFmt w:val="lowerLetter"/>
      <w:start w:val="3"/>
    </w:lvl>
    <w:lvl w:ilvl="1">
      <w:lvlJc w:val="left"/>
      <w:lvlText w:val="(%2)"/>
      <w:numFmt w:val="lowerRoman"/>
      <w:start w:val="1"/>
    </w:lvl>
  </w:abstractNum>
  <w:abstractNum w:abstractNumId="11">
    <w:nsid w:val="5DC79EA8"/>
    <w:multiLevelType w:val="hybridMultilevel"/>
    <w:lvl w:ilvl="0">
      <w:lvlJc w:val="left"/>
      <w:lvlText w:val="(%1)"/>
      <w:numFmt w:val="lowerLetter"/>
      <w:start w:val="1"/>
    </w:lvl>
  </w:abstractNum>
  <w:abstractNum w:abstractNumId="12">
    <w:nsid w:val="540A471C"/>
    <w:multiLevelType w:val="hybridMultilevel"/>
    <w:lvl w:ilvl="0">
      <w:lvlJc w:val="left"/>
      <w:lvlText w:val="(%1)"/>
      <w:numFmt w:val="lowerLetter"/>
      <w:start w:val="2"/>
    </w:lvl>
  </w:abstractNum>
  <w:abstractNum w:abstractNumId="13">
    <w:nsid w:val="7BD3EE7B"/>
    <w:multiLevelType w:val="hybridMultilevel"/>
    <w:lvl w:ilvl="0">
      <w:lvlJc w:val="left"/>
      <w:lvlText w:val="(%1)"/>
      <w:numFmt w:val="decimal"/>
      <w:start w:val="1"/>
    </w:lvl>
  </w:abstractNum>
  <w:abstractNum w:abstractNumId="14">
    <w:nsid w:val="51D9C564"/>
    <w:multiLevelType w:val="hybridMultilevel"/>
    <w:lvl w:ilvl="0">
      <w:lvlJc w:val="left"/>
      <w:lvlText w:val="(%1)"/>
      <w:numFmt w:val="decimal"/>
      <w:start w:val="2"/>
    </w:lvl>
    <w:lvl w:ilvl="1">
      <w:lvlJc w:val="left"/>
      <w:lvlText w:val="(%2)"/>
      <w:numFmt w:val="upperLetter"/>
      <w:start w:val="1"/>
    </w:lvl>
  </w:abstractNum>
  <w:abstractNum w:abstractNumId="15">
    <w:nsid w:val="613EFDC5"/>
    <w:multiLevelType w:val="hybridMultilevel"/>
    <w:lvl w:ilvl="0">
      <w:lvlJc w:val="left"/>
      <w:lvlText w:val="(%1)"/>
      <w:numFmt w:val="lowerLetter"/>
      <w:start w:val="4"/>
    </w:lvl>
  </w:abstractNum>
  <w:abstractNum w:abstractNumId="16">
    <w:nsid w:val="BF72B14"/>
    <w:multiLevelType w:val="hybridMultilevel"/>
    <w:lvl w:ilvl="0">
      <w:lvlJc w:val="left"/>
      <w:lvlText w:val="(%1)"/>
      <w:numFmt w:val="decimal"/>
      <w:start w:val="1"/>
    </w:lvl>
  </w:abstractNum>
  <w:abstractNum w:abstractNumId="17">
    <w:nsid w:val="11447B73"/>
    <w:multiLevelType w:val="hybridMultilevel"/>
    <w:lvl w:ilvl="0">
      <w:lvlJc w:val="left"/>
      <w:lvlText w:val="(%1)"/>
      <w:numFmt w:val="decimal"/>
      <w:start w:val="2"/>
    </w:lvl>
    <w:lvl w:ilvl="1">
      <w:lvlJc w:val="left"/>
      <w:lvlText w:val="(%2)"/>
      <w:numFmt w:val="upperLetter"/>
      <w:start w:val="1"/>
    </w:lvl>
  </w:abstractNum>
  <w:abstractNum w:abstractNumId="18">
    <w:nsid w:val="42963E5A"/>
    <w:multiLevelType w:val="hybridMultilevel"/>
    <w:lvl w:ilvl="0">
      <w:lvlJc w:val="left"/>
      <w:lvlText w:val="(%1)"/>
      <w:numFmt w:val="lowerRoman"/>
      <w:start w:val="1"/>
    </w:lvl>
  </w:abstractNum>
  <w:abstractNum w:abstractNumId="19">
    <w:nsid w:val="A0382C5"/>
    <w:multiLevelType w:val="hybridMultilevel"/>
    <w:lvl w:ilvl="0">
      <w:lvlJc w:val="left"/>
      <w:lvlText w:val="(%1)"/>
      <w:numFmt w:val="lowerLetter"/>
      <w:start w:val="2"/>
    </w:lvl>
  </w:abstractNum>
  <w:abstractNum w:abstractNumId="20">
    <w:nsid w:val="8F2B15E"/>
    <w:multiLevelType w:val="hybridMultilevel"/>
    <w:lvl w:ilvl="0">
      <w:lvlJc w:val="left"/>
      <w:lvlText w:val="(%1)"/>
      <w:numFmt w:val="lowerLetter"/>
      <w:start w:val="1"/>
    </w:lvl>
  </w:abstractNum>
  <w:abstractNum w:abstractNumId="21">
    <w:nsid w:val="1A32234B"/>
    <w:multiLevelType w:val="hybridMultilevel"/>
    <w:lvl w:ilvl="0">
      <w:lvlJc w:val="left"/>
      <w:lvlText w:val="(%1)"/>
      <w:numFmt w:val="lowerLetter"/>
      <w:start w:val="5"/>
    </w:lvl>
  </w:abstractNum>
  <w:abstractNum w:abstractNumId="22">
    <w:nsid w:val="3B0FD379"/>
    <w:multiLevelType w:val="hybridMultilevel"/>
    <w:lvl w:ilvl="0">
      <w:lvlJc w:val="left"/>
      <w:lvlText w:val="(%1)"/>
      <w:numFmt w:val="lowerLetter"/>
      <w:start w:val="10"/>
    </w:lvl>
  </w:abstractNum>
  <w:abstractNum w:abstractNumId="23">
    <w:nsid w:val="68EB2F6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4">
    <w:nsid w:val="4962813B"/>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25">
    <w:nsid w:val="60B6DF70"/>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6">
    <w:nsid w:val="6A5EE64"/>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7">
    <w:nsid w:val="14330624"/>
    <w:multiLevelType w:val="hybridMultilevel"/>
    <w:lvl w:ilvl="0">
      <w:lvlJc w:val="left"/>
      <w:lvlText w:val="(%1)"/>
      <w:numFmt w:val="lowerLetter"/>
      <w:start w:val="2"/>
    </w:lvl>
  </w:abstractNum>
  <w:abstractNum w:abstractNumId="28">
    <w:nsid w:val="7FFFCA11"/>
    <w:multiLevelType w:val="hybridMultilevel"/>
    <w:lvl w:ilvl="0">
      <w:lvlJc w:val="left"/>
      <w:lvlText w:val="(%1)"/>
      <w:numFmt w:val="lowerLetter"/>
      <w:start w:val="1"/>
    </w:lvl>
  </w:abstractNum>
  <w:abstractNum w:abstractNumId="29">
    <w:nsid w:val="1A27709E"/>
    <w:multiLevelType w:val="hybridMultilevel"/>
    <w:lvl w:ilvl="0">
      <w:lvlJc w:val="left"/>
      <w:lvlText w:val="(%1)"/>
      <w:numFmt w:val="lowerLetter"/>
      <w:start w:val="8"/>
    </w:lvl>
  </w:abstractNum>
  <w:abstractNum w:abstractNumId="30">
    <w:nsid w:val="71EA1109"/>
    <w:multiLevelType w:val="hybridMultilevel"/>
    <w:lvl w:ilvl="0">
      <w:lvlJc w:val="left"/>
      <w:lvlText w:val="(%1)"/>
      <w:numFmt w:val="lowerLetter"/>
      <w:start w:val="1"/>
    </w:lvl>
  </w:abstractNum>
  <w:abstractNum w:abstractNumId="31">
    <w:nsid w:val="100F59DC"/>
    <w:multiLevelType w:val="hybridMultilevel"/>
    <w:lvl w:ilvl="0">
      <w:lvlJc w:val="left"/>
      <w:lvlText w:val="(%1)"/>
      <w:numFmt w:val="lowerLetter"/>
      <w:start w:val="3"/>
    </w:lvl>
  </w:abstractNum>
  <w:abstractNum w:abstractNumId="32">
    <w:nsid w:val="7FB7E0AA"/>
    <w:multiLevelType w:val="hybridMultilevel"/>
    <w:lvl w:ilvl="0">
      <w:lvlJc w:val="left"/>
      <w:lvlText w:val="(%1)"/>
      <w:numFmt w:val="lowerLetter"/>
      <w:start w:val="1"/>
    </w:lvl>
    <w:lvl w:ilvl="1">
      <w:lvlJc w:val="left"/>
      <w:lvlText w:val="(%2)"/>
      <w:numFmt w:val="lowerRoman"/>
      <w:start w:val="1"/>
    </w:lvl>
  </w:abstractNum>
  <w:abstractNum w:abstractNumId="33">
    <w:nsid w:val="6EB5BD4"/>
    <w:multiLevelType w:val="hybridMultilevel"/>
    <w:lvl w:ilvl="0">
      <w:lvlJc w:val="left"/>
      <w:lvlText w:val="(%1)"/>
      <w:numFmt w:val="lowerLetter"/>
      <w:start w:val="6"/>
    </w:lvl>
  </w:abstractNum>
  <w:abstractNum w:abstractNumId="34">
    <w:nsid w:val="6F6DD9AC"/>
    <w:multiLevelType w:val="hybridMultilevel"/>
    <w:lvl w:ilvl="0">
      <w:lvlJc w:val="left"/>
      <w:lvlText w:val="(%1)"/>
      <w:numFmt w:val="lowerLetter"/>
      <w:start w:val="1"/>
    </w:lvl>
  </w:abstractNum>
  <w:abstractNum w:abstractNumId="35">
    <w:nsid w:val="94211F2"/>
    <w:multiLevelType w:val="hybridMultilevel"/>
    <w:lvl w:ilvl="0">
      <w:lvlJc w:val="left"/>
      <w:lvlText w:val="(%1)"/>
      <w:numFmt w:val="lowerLetter"/>
      <w:start w:val="5"/>
    </w:lvl>
  </w:abstractNum>
  <w:abstractNum w:abstractNumId="36">
    <w:nsid w:val="885E1B"/>
    <w:multiLevelType w:val="hybridMultilevel"/>
    <w:lvl w:ilvl="0">
      <w:lvlJc w:val="left"/>
      <w:lvlText w:val="(%1)"/>
      <w:numFmt w:val="lowerLetter"/>
      <w:start w:val="1"/>
    </w:lvl>
  </w:abstractNum>
  <w:abstractNum w:abstractNumId="37">
    <w:nsid w:val="76272110"/>
    <w:multiLevelType w:val="hybridMultilevel"/>
    <w:lvl w:ilvl="0">
      <w:lvlJc w:val="left"/>
      <w:lvlText w:val="(%1)"/>
      <w:numFmt w:val="lowerLetter"/>
      <w:start w:val="2"/>
    </w:lvl>
    <w:lvl w:ilvl="1">
      <w:lvlJc w:val="left"/>
      <w:lvlText w:val="(%2)"/>
      <w:numFmt w:val="lowerRoman"/>
      <w:start w:val="1"/>
    </w:lvl>
  </w:abstractNum>
  <w:abstractNum w:abstractNumId="38">
    <w:nsid w:val="4C04A8AF"/>
    <w:multiLevelType w:val="hybridMultilevel"/>
    <w:lvl w:ilvl="0">
      <w:lvlJc w:val="left"/>
      <w:lvlText w:val="(%1)"/>
      <w:numFmt w:val="lowerLetter"/>
      <w:start w:val="3"/>
    </w:lvl>
  </w:abstractNum>
  <w:abstractNum w:abstractNumId="39">
    <w:nsid w:val="1716703B"/>
    <w:multiLevelType w:val="hybridMultilevel"/>
    <w:lvl w:ilvl="0">
      <w:lvlJc w:val="left"/>
      <w:lvlText w:val="(%1)"/>
      <w:numFmt w:val="lowerLetter"/>
      <w:start w:val="1"/>
    </w:lvl>
  </w:abstractNum>
  <w:abstractNum w:abstractNumId="40">
    <w:nsid w:val="14E17E33"/>
    <w:multiLevelType w:val="hybridMultilevel"/>
    <w:lvl w:ilvl="0">
      <w:lvlJc w:val="left"/>
      <w:lvlText w:val="(%1)"/>
      <w:numFmt w:val="lowerLetter"/>
      <w:start w:val="1"/>
    </w:lvl>
  </w:abstractNum>
  <w:abstractNum w:abstractNumId="41">
    <w:nsid w:val="3222E7CD"/>
    <w:multiLevelType w:val="hybridMultilevel"/>
    <w:lvl w:ilvl="0">
      <w:lvlJc w:val="left"/>
      <w:lvlText w:val="(%1)"/>
      <w:numFmt w:val="lowerLetter"/>
      <w:start w:val="13"/>
    </w:lvl>
  </w:abstractNum>
  <w:abstractNum w:abstractNumId="42">
    <w:nsid w:val="74DE0EE3"/>
    <w:multiLevelType w:val="hybridMultilevel"/>
    <w:lvl w:ilvl="0">
      <w:lvlJc w:val="left"/>
      <w:lvlText w:val="(%1)"/>
      <w:numFmt w:val="lowerLetter"/>
      <w:start w:val="1"/>
    </w:lvl>
  </w:abstractNum>
  <w:abstractNum w:abstractNumId="43">
    <w:nsid w:val="68EBC550"/>
    <w:multiLevelType w:val="hybridMultilevel"/>
    <w:lvl w:ilvl="0">
      <w:lvlJc w:val="left"/>
      <w:lvlText w:val="(%1)"/>
      <w:numFmt w:val="lowerLetter"/>
      <w:start w:val="4"/>
    </w:lvl>
  </w:abstractNum>
  <w:abstractNum w:abstractNumId="44">
    <w:nsid w:val="2DF6D648"/>
    <w:multiLevelType w:val="hybridMultilevel"/>
    <w:lvl w:ilvl="0">
      <w:lvlJc w:val="left"/>
      <w:lvlText w:val="(%1)"/>
      <w:numFmt w:val="lowerLetter"/>
      <w:start w:val="1"/>
    </w:lvl>
  </w:abstractNum>
  <w:abstractNum w:abstractNumId="45">
    <w:nsid w:val="46B7D447"/>
    <w:multiLevelType w:val="hybridMultilevel"/>
    <w:lvl w:ilvl="0">
      <w:lvlJc w:val="left"/>
      <w:lvlText w:val="(%1)"/>
      <w:numFmt w:val="lowerLetter"/>
      <w:start w:val="1"/>
    </w:lvl>
  </w:abstractNum>
  <w:abstractNum w:abstractNumId="46">
    <w:nsid w:val="4A2AC315"/>
    <w:multiLevelType w:val="hybridMultilevel"/>
    <w:lvl w:ilvl="0">
      <w:lvlJc w:val="left"/>
      <w:lvlText w:val="%1"/>
      <w:numFmt w:val="lowerLetter"/>
      <w:start w:val="1"/>
    </w:lvl>
    <w:lvl w:ilvl="1">
      <w:lvlJc w:val="left"/>
      <w:lvlText w:val="(%2)"/>
      <w:numFmt w:val="lowerLetter"/>
      <w:start w:val="9"/>
    </w:lvl>
  </w:abstractNum>
  <w:abstractNum w:abstractNumId="47">
    <w:nsid w:val="39EE015C"/>
    <w:multiLevelType w:val="hybridMultilevel"/>
    <w:lvl w:ilvl="0">
      <w:lvlJc w:val="left"/>
      <w:lvlText w:val="(%1)"/>
      <w:numFmt w:val="lowerLetter"/>
      <w:start w:val="25"/>
    </w:lvl>
    <w:lvl w:ilvl="1">
      <w:lvlJc w:val="left"/>
      <w:lvlText w:val="%2"/>
      <w:numFmt w:val="lowerLetter"/>
      <w:start w:val="1"/>
    </w:lvl>
  </w:abstractNum>
  <w:abstractNum w:abstractNumId="48">
    <w:nsid w:val="57FC4FBB"/>
    <w:multiLevelType w:val="hybridMultilevel"/>
    <w:lvl w:ilvl="0">
      <w:lvlJc w:val="left"/>
      <w:lvlText w:val="(%1)"/>
      <w:numFmt w:val="lowerRoman"/>
      <w:start w:val="2"/>
    </w:lvl>
    <w:lvl w:ilvl="1">
      <w:lvlJc w:val="left"/>
      <w:lvlText w:val="(%2)"/>
      <w:numFmt w:val="upperLetter"/>
      <w:start w:val="1"/>
    </w:lvl>
  </w:abstractNum>
  <w:abstractNum w:abstractNumId="49">
    <w:nsid w:val="CC1016F"/>
    <w:multiLevelType w:val="hybridMultilevel"/>
    <w:lvl w:ilvl="0">
      <w:lvlJc w:val="left"/>
      <w:lvlText w:val="%1"/>
      <w:numFmt w:val="lowerLetter"/>
      <w:start w:val="1"/>
    </w:lvl>
    <w:lvl w:ilvl="1">
      <w:lvlJc w:val="left"/>
      <w:lvlText w:val="(%2)"/>
      <w:numFmt w:val="lowerLetter"/>
      <w:start w:val="61"/>
    </w:lvl>
  </w:abstractNum>
  <w:abstractNum w:abstractNumId="50">
    <w:nsid w:val="43F18422"/>
    <w:multiLevelType w:val="hybridMultilevel"/>
    <w:lvl w:ilvl="0">
      <w:lvlJc w:val="left"/>
      <w:lvlText w:val="(%1)"/>
      <w:numFmt w:val="lowerLetter"/>
      <w:start w:val="25"/>
    </w:lvl>
    <w:lvl w:ilvl="1">
      <w:lvlJc w:val="left"/>
      <w:lvlText w:val="%2"/>
      <w:numFmt w:val="lowerLetter"/>
      <w:start w:val="1"/>
    </w:lvl>
  </w:abstractNum>
  <w:abstractNum w:abstractNumId="51">
    <w:nsid w:val="60EF0119"/>
    <w:multiLevelType w:val="hybridMultilevel"/>
    <w:lvl w:ilvl="0">
      <w:lvlJc w:val="left"/>
      <w:lvlText w:val="(%1)"/>
      <w:numFmt w:val="lowerRoman"/>
      <w:start w:val="4"/>
    </w:lvl>
  </w:abstractNum>
  <w:abstractNum w:abstractNumId="52">
    <w:nsid w:val="26F324BA"/>
    <w:multiLevelType w:val="hybridMultilevel"/>
    <w:lvl w:ilvl="0">
      <w:lvlJc w:val="left"/>
      <w:lvlText w:val="(%1)"/>
      <w:numFmt w:val="lowerLetter"/>
      <w:start w:val="1"/>
    </w:lvl>
    <w:lvl w:ilvl="1">
      <w:lvlJc w:val="left"/>
      <w:lvlText w:val="(%2)"/>
      <w:numFmt w:val="lowerRoman"/>
      <w:start w:val="1"/>
    </w:lvl>
  </w:abstractNum>
  <w:abstractNum w:abstractNumId="53">
    <w:nsid w:val="7F01579B"/>
    <w:multiLevelType w:val="hybridMultilevel"/>
    <w:lvl w:ilvl="0">
      <w:lvlJc w:val="left"/>
      <w:lvlText w:val="(%1)"/>
      <w:numFmt w:val="lowerRoman"/>
      <w:start w:val="4"/>
    </w:lvl>
    <w:lvl w:ilvl="1">
      <w:lvlJc w:val="left"/>
      <w:lvlText w:val="(%2)"/>
      <w:numFmt w:val="upperLetter"/>
      <w:start w:val="1"/>
    </w:lvl>
  </w:abstractNum>
  <w:abstractNum w:abstractNumId="54">
    <w:nsid w:val="49DA307D"/>
    <w:multiLevelType w:val="hybridMultilevel"/>
    <w:lvl w:ilvl="0">
      <w:lvlJc w:val="left"/>
      <w:lvlText w:val="(%1)"/>
      <w:numFmt w:val="lowerLetter"/>
      <w:start w:val="2"/>
    </w:lvl>
  </w:abstractNum>
  <w:abstractNum w:abstractNumId="55">
    <w:nsid w:val="7055A5F5"/>
    <w:multiLevelType w:val="hybridMultilevel"/>
    <w:lvl w:ilvl="0">
      <w:lvlJc w:val="left"/>
      <w:lvlText w:val="(%1)"/>
      <w:numFmt w:val="lowerLetter"/>
      <w:start w:val="4"/>
    </w:lvl>
  </w:abstractNum>
  <w:abstractNum w:abstractNumId="56">
    <w:nsid w:val="5FB8370B"/>
    <w:multiLevelType w:val="hybridMultilevel"/>
    <w:lvl w:ilvl="0">
      <w:lvlJc w:val="left"/>
      <w:lvlText w:val="%1"/>
      <w:numFmt w:val="lowerLetter"/>
      <w:start w:val="1"/>
    </w:lvl>
    <w:lvl w:ilvl="1">
      <w:lvlJc w:val="left"/>
      <w:lvlText w:val="(%2)"/>
      <w:numFmt w:val="lowerLetter"/>
      <w:start w:val="8"/>
    </w:lvl>
  </w:abstractNum>
  <w:abstractNum w:abstractNumId="57">
    <w:nsid w:val="50801EE1"/>
    <w:multiLevelType w:val="hybridMultilevel"/>
    <w:lvl w:ilvl="0">
      <w:lvlJc w:val="left"/>
      <w:lvlText w:val="(%1)"/>
      <w:numFmt w:val="lowerLetter"/>
      <w:start w:val="8"/>
    </w:lvl>
    <w:lvl w:ilvl="1">
      <w:lvlJc w:val="left"/>
      <w:lvlText w:val="%2"/>
      <w:numFmt w:val="lowerLetter"/>
      <w:start w:val="1"/>
    </w:lvl>
  </w:abstractNum>
  <w:abstractNum w:abstractNumId="58">
    <w:nsid w:val="488AC1A"/>
    <w:multiLevelType w:val="hybridMultilevel"/>
    <w:lvl w:ilvl="0">
      <w:lvlJc w:val="left"/>
      <w:lvlText w:val="(%1)"/>
      <w:numFmt w:val="lowerLetter"/>
      <w:start w:val="10"/>
    </w:lvl>
  </w:abstractNum>
  <w:abstractNum w:abstractNumId="59">
    <w:nsid w:val="5FB8011C"/>
    <w:multiLevelType w:val="hybridMultilevel"/>
    <w:lvl w:ilvl="0">
      <w:lvlJc w:val="left"/>
      <w:lvlText w:val="(%1)"/>
      <w:numFmt w:val="lowerLetter"/>
      <w:start w:val="1"/>
    </w:lvl>
  </w:abstractNum>
  <w:abstractNum w:abstractNumId="60">
    <w:nsid w:val="6AA78F7F"/>
    <w:multiLevelType w:val="hybridMultilevel"/>
    <w:lvl w:ilvl="0">
      <w:lvlJc w:val="left"/>
      <w:lvlText w:val="(%1)"/>
      <w:numFmt w:val="lowerLetter"/>
      <w:start w:val="3"/>
    </w:lvl>
  </w:abstractNum>
  <w:abstractNum w:abstractNumId="61">
    <w:nsid w:val="7672BD23"/>
    <w:multiLevelType w:val="hybridMultilevel"/>
    <w:lvl w:ilvl="0">
      <w:lvlJc w:val="left"/>
      <w:lvlText w:val="(%1)"/>
      <w:numFmt w:val="lowerRoman"/>
      <w:start w:val="1"/>
    </w:lvl>
  </w:abstractNum>
  <w:abstractNum w:abstractNumId="62">
    <w:nsid w:val="6FC75AF8"/>
    <w:multiLevelType w:val="hybridMultilevel"/>
    <w:lvl w:ilvl="0">
      <w:lvlJc w:val="left"/>
      <w:lvlText w:val="(%1)"/>
      <w:numFmt w:val="lowerLetter"/>
      <w:start w:val="6"/>
    </w:lvl>
  </w:abstractNum>
  <w:abstractNum w:abstractNumId="63">
    <w:nsid w:val="6A5F7029"/>
    <w:multiLevelType w:val="hybridMultilevel"/>
    <w:lvl w:ilvl="0">
      <w:lvlJc w:val="left"/>
      <w:lvlText w:val="(%1)"/>
      <w:numFmt w:val="lowerLetter"/>
      <w:start w:val="1"/>
    </w:lvl>
  </w:abstractNum>
  <w:abstractNum w:abstractNumId="64">
    <w:nsid w:val="7D5E18F8"/>
    <w:multiLevelType w:val="hybridMultilevel"/>
    <w:lvl w:ilvl="0">
      <w:lvlJc w:val="left"/>
      <w:lvlText w:val="(%1)"/>
      <w:numFmt w:val="lowerLetter"/>
      <w:start w:val="2"/>
    </w:lvl>
  </w:abstractNum>
  <w:abstractNum w:abstractNumId="65">
    <w:nsid w:val="5F3534A4"/>
    <w:multiLevelType w:val="hybridMultilevel"/>
    <w:lvl w:ilvl="0">
      <w:lvlJc w:val="left"/>
      <w:lvlText w:val="X"/>
      <w:numFmt w:val="bullet"/>
      <w:start w:val="1"/>
    </w:lvl>
  </w:abstractNum>
  <w:abstractNum w:abstractNumId="66">
    <w:nsid w:val="73A1821B"/>
    <w:multiLevelType w:val="hybridMultilevel"/>
    <w:lvl w:ilvl="0">
      <w:lvlJc w:val="left"/>
      <w:lvlText w:val="Y"/>
      <w:numFmt w:val="bullet"/>
      <w:start w:val="1"/>
    </w:lvl>
  </w:abstractNum>
  <w:abstractNum w:abstractNumId="67">
    <w:nsid w:val="7DE67713"/>
    <w:multiLevelType w:val="hybridMultilevel"/>
    <w:lvl w:ilvl="0">
      <w:lvlJc w:val="left"/>
      <w:lvlText w:val="(%1)"/>
      <w:numFmt w:val="lowerLetter"/>
      <w:start w:val="3"/>
    </w:lvl>
  </w:abstractNum>
  <w:abstractNum w:abstractNumId="68">
    <w:nsid w:val="555C55B5"/>
    <w:multiLevelType w:val="hybridMultilevel"/>
    <w:lvl w:ilvl="0">
      <w:lvlJc w:val="left"/>
      <w:lvlText w:val="(%1)"/>
      <w:numFmt w:val="upperLetter"/>
      <w:start w:val="1"/>
    </w:lvl>
  </w:abstractNum>
  <w:abstractNum w:abstractNumId="69">
    <w:nsid w:val="3FA62ACA"/>
    <w:multiLevelType w:val="hybridMultilevel"/>
    <w:lvl w:ilvl="0">
      <w:lvlJc w:val="left"/>
      <w:lvlText w:val="(%1)"/>
      <w:numFmt w:val="lowerLetter"/>
      <w:start w:val="4"/>
    </w:lvl>
  </w:abstractNum>
  <w:abstractNum w:abstractNumId="70">
    <w:nsid w:val="14FCE74E"/>
    <w:multiLevelType w:val="hybridMultilevel"/>
    <w:lvl w:ilvl="0">
      <w:lvlJc w:val="left"/>
      <w:lvlText w:val="C"/>
      <w:numFmt w:val="bullet"/>
      <w:start w:val="1"/>
    </w:lvl>
  </w:abstractNum>
  <w:abstractNum w:abstractNumId="71">
    <w:nsid w:val="6A3DD3E8"/>
    <w:multiLevelType w:val="hybridMultilevel"/>
    <w:lvl w:ilvl="0">
      <w:lvlJc w:val="left"/>
      <w:lvlText w:val="(%1)"/>
      <w:numFmt w:val="lowerLetter"/>
      <w:start w:val="5"/>
    </w:lvl>
  </w:abstractNum>
  <w:abstractNum w:abstractNumId="72">
    <w:nsid w:val="71C91298"/>
    <w:multiLevelType w:val="hybridMultilevel"/>
    <w:lvl w:ilvl="0">
      <w:lvlJc w:val="left"/>
      <w:lvlText w:val="(%1)"/>
      <w:numFmt w:val="lowerLetter"/>
      <w:start w:val="6"/>
    </w:lvl>
  </w:abstractNum>
  <w:abstractNum w:abstractNumId="73">
    <w:nsid w:val="9DAF632"/>
    <w:multiLevelType w:val="hybridMultilevel"/>
    <w:lvl w:ilvl="0">
      <w:lvlJc w:val="left"/>
      <w:lvlText w:val="(%1)"/>
      <w:numFmt w:val="lowerLetter"/>
      <w:start w:val="7"/>
    </w:lvl>
    <w:lvl w:ilvl="1">
      <w:lvlJc w:val="left"/>
      <w:lvlText w:val="(%2)"/>
      <w:numFmt w:val="lowerRoman"/>
      <w:start w:val="1"/>
    </w:lvl>
  </w:abstractNum>
  <w:abstractNum w:abstractNumId="74">
    <w:nsid w:val="53299938"/>
    <w:multiLevelType w:val="hybridMultilevel"/>
    <w:lvl w:ilvl="0">
      <w:lvlJc w:val="left"/>
      <w:lvlText w:val="%1"/>
      <w:numFmt w:val="lowerLetter"/>
      <w:start w:val="1"/>
    </w:lvl>
    <w:lvl w:ilvl="1">
      <w:lvlJc w:val="left"/>
      <w:lvlText w:val="(%2)"/>
      <w:numFmt w:val="lowerRoman"/>
      <w:start w:val="7"/>
    </w:lvl>
  </w:abstractNum>
  <w:abstractNum w:abstractNumId="75">
    <w:nsid w:val="1FBFE8E0"/>
    <w:multiLevelType w:val="hybridMultilevel"/>
    <w:lvl w:ilvl="0">
      <w:lvlJc w:val="left"/>
      <w:lvlText w:val="(%1)"/>
      <w:numFmt w:val="lowerLetter"/>
      <w:start w:val="10"/>
    </w:lvl>
    <w:lvl w:ilvl="1">
      <w:lvlJc w:val="left"/>
      <w:lvlText w:val="%2"/>
      <w:numFmt w:val="lowerRoman"/>
      <w:start w:val="1"/>
    </w:lvl>
  </w:abstractNum>
  <w:abstractNum w:abstractNumId="76">
    <w:nsid w:val="5092CA79"/>
    <w:multiLevelType w:val="hybridMultilevel"/>
    <w:lvl w:ilvl="0">
      <w:lvlJc w:val="left"/>
      <w:lvlText w:val="(%1)"/>
      <w:numFmt w:val="lowerLetter"/>
      <w:start w:val="1"/>
    </w:lvl>
    <w:lvl w:ilvl="1">
      <w:lvlJc w:val="left"/>
      <w:lvlText w:val="(%2)"/>
      <w:numFmt w:val="lowerRoman"/>
      <w:start w:val="1"/>
    </w:lvl>
  </w:abstractNum>
  <w:abstractNum w:abstractNumId="77">
    <w:nsid w:val="1D545C4D"/>
    <w:multiLevelType w:val="hybridMultilevel"/>
    <w:lvl w:ilvl="0">
      <w:lvlJc w:val="left"/>
      <w:lvlText w:val="(%1)"/>
      <w:numFmt w:val="upperLetter"/>
      <w:start w:val="1"/>
    </w:lvl>
  </w:abstractNum>
  <w:abstractNum w:abstractNumId="78">
    <w:nsid w:val="59ADEA3D"/>
    <w:multiLevelType w:val="hybridMultilevel"/>
    <w:lvl w:ilvl="0">
      <w:lvlJc w:val="left"/>
      <w:lvlText w:val="(%1)"/>
      <w:numFmt w:val="lowerLetter"/>
      <w:start w:val="2"/>
    </w:lvl>
  </w:abstractNum>
  <w:abstractNum w:abstractNumId="79">
    <w:nsid w:val="288F1A34"/>
    <w:multiLevelType w:val="hybridMultilevel"/>
    <w:lvl w:ilvl="0">
      <w:lvlJc w:val="left"/>
      <w:lvlText w:val="(%1)"/>
      <w:numFmt w:val="lowerLetter"/>
      <w:start w:val="1"/>
    </w:lvl>
  </w:abstractNum>
  <w:abstractNum w:abstractNumId="80">
    <w:nsid w:val="2A155DBC"/>
    <w:multiLevelType w:val="hybridMultilevel"/>
    <w:lvl w:ilvl="0">
      <w:lvlJc w:val="left"/>
      <w:lvlText w:val="(%1)"/>
      <w:numFmt w:val="lowerLetter"/>
      <w:start w:val="1"/>
    </w:lvl>
  </w:abstractNum>
  <w:abstractNum w:abstractNumId="81">
    <w:nsid w:val="1D9F6E5F"/>
    <w:multiLevelType w:val="hybridMultilevel"/>
    <w:lvl w:ilvl="0">
      <w:lvlJc w:val="left"/>
      <w:lvlText w:val="(%1)"/>
      <w:numFmt w:val="lowerLetter"/>
      <w:start w:val="1"/>
    </w:lvl>
    <w:lvl w:ilvl="1">
      <w:lvlJc w:val="left"/>
      <w:lvlText w:val="(%2)"/>
      <w:numFmt w:val="lowerRoman"/>
      <w:start w:val="1"/>
    </w:lvl>
  </w:abstractNum>
  <w:abstractNum w:abstractNumId="82">
    <w:nsid w:val="97E1B4E"/>
    <w:multiLevelType w:val="hybridMultilevel"/>
    <w:lvl w:ilvl="0">
      <w:lvlJc w:val="left"/>
      <w:lvlText w:val="(%1)"/>
      <w:numFmt w:val="lowerRoman"/>
      <w:start w:val="1"/>
    </w:lvl>
  </w:abstractNum>
  <w:abstractNum w:abstractNumId="83">
    <w:nsid w:val="51088277"/>
    <w:multiLevelType w:val="hybridMultilevel"/>
    <w:lvl w:ilvl="0">
      <w:lvlJc w:val="left"/>
      <w:lvlText w:val="(%1)"/>
      <w:numFmt w:val="lowerLetter"/>
      <w:start w:val="3"/>
    </w:lvl>
    <w:lvl w:ilvl="1">
      <w:lvlJc w:val="left"/>
      <w:lvlText w:val="(%2)"/>
      <w:numFmt w:val="lowerRoman"/>
      <w:start w:val="1"/>
    </w:lvl>
  </w:abstractNum>
  <w:abstractNum w:abstractNumId="84">
    <w:nsid w:val="1CA0C5FA"/>
    <w:multiLevelType w:val="hybridMultilevel"/>
    <w:lvl w:ilvl="0">
      <w:lvlJc w:val="left"/>
      <w:lvlText w:val="(%1)"/>
      <w:numFmt w:val="lowerLetter"/>
      <w:start w:val="1"/>
    </w:lvl>
  </w:abstractNum>
  <w:abstractNum w:abstractNumId="85">
    <w:nsid w:val="53584BCB"/>
    <w:multiLevelType w:val="hybridMultilevel"/>
    <w:lvl w:ilvl="0">
      <w:lvlJc w:val="left"/>
      <w:lvlText w:val="(%1)"/>
      <w:numFmt w:val="lowerLetter"/>
      <w:start w:val="2"/>
    </w:lvl>
    <w:lvl w:ilvl="1">
      <w:lvlJc w:val="left"/>
      <w:lvlText w:val="(%2)"/>
      <w:numFmt w:val="lowerRoman"/>
      <w:start w:val="1"/>
    </w:lvl>
  </w:abstractNum>
  <w:abstractNum w:abstractNumId="86">
    <w:nsid w:val="415E286C"/>
    <w:multiLevelType w:val="hybridMultilevel"/>
    <w:lvl w:ilvl="0">
      <w:lvlJc w:val="left"/>
      <w:lvlText w:val="(%1)"/>
      <w:numFmt w:val="lowerRoman"/>
      <w:start w:val="1"/>
    </w:lvl>
  </w:abstractNum>
  <w:abstractNum w:abstractNumId="87">
    <w:nsid w:val="7C58FD05"/>
    <w:multiLevelType w:val="hybridMultilevel"/>
    <w:lvl w:ilvl="0">
      <w:lvlJc w:val="left"/>
      <w:lvlText w:val="(%1)"/>
      <w:numFmt w:val="lowerLetter"/>
      <w:start w:val="3"/>
    </w:lvl>
    <w:lvl w:ilvl="1">
      <w:lvlJc w:val="left"/>
      <w:lvlText w:val="(%2)"/>
      <w:numFmt w:val="lowerRoman"/>
      <w:start w:val="1"/>
    </w:lvl>
  </w:abstractNum>
  <w:abstractNum w:abstractNumId="88">
    <w:nsid w:val="23D86AAC"/>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89">
    <w:nsid w:val="45E6D486"/>
    <w:multiLevelType w:val="hybridMultilevel"/>
    <w:lvl w:ilvl="0">
      <w:lvlJc w:val="left"/>
      <w:lvlText w:val="(%1)"/>
      <w:numFmt w:val="upperLetter"/>
      <w:start w:val="2"/>
    </w:lvl>
    <w:lvl w:ilvl="1">
      <w:lvlJc w:val="left"/>
      <w:lvlText w:val="(%2)"/>
      <w:numFmt w:val="lowerLetter"/>
      <w:start w:val="60"/>
    </w:lvl>
    <w:lvl w:ilvl="2">
      <w:lvlJc w:val="left"/>
      <w:lvlText w:val="(%3)"/>
      <w:numFmt w:val="lowerRoman"/>
      <w:start w:val="1"/>
    </w:lvl>
  </w:abstractNum>
  <w:abstractNum w:abstractNumId="90">
    <w:nsid w:val="5C10FE21"/>
    <w:multiLevelType w:val="hybridMultilevel"/>
    <w:lvl w:ilvl="0">
      <w:lvlJc w:val="left"/>
      <w:lvlText w:val="(%1)"/>
      <w:numFmt w:val="lowerLetter"/>
      <w:start w:val="5"/>
    </w:lvl>
  </w:abstractNum>
  <w:abstractNum w:abstractNumId="91">
    <w:nsid w:val="E7FFA2B"/>
    <w:multiLevelType w:val="hybridMultilevel"/>
    <w:lvl w:ilvl="0">
      <w:lvlJc w:val="left"/>
      <w:lvlText w:val="(%1)"/>
      <w:numFmt w:val="lowerRoman"/>
      <w:start w:val="1"/>
    </w:lvl>
  </w:abstractNum>
  <w:abstractNum w:abstractNumId="92">
    <w:nsid w:val="3C5991AA"/>
    <w:multiLevelType w:val="hybridMultilevel"/>
    <w:lvl w:ilvl="0">
      <w:lvlJc w:val="left"/>
      <w:lvlText w:val="(%1)"/>
      <w:numFmt w:val="lowerLetter"/>
      <w:start w:val="1"/>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4"/>
    </w:lvl>
    <w:lvl w:ilvl="1">
      <w:lvlJc w:val="left"/>
      <w:lvlText w:val="(%2)"/>
      <w:numFmt w:val="lowerRoman"/>
      <w:start w:val="1"/>
    </w:lvl>
  </w:abstractNum>
  <w:abstractNum w:abstractNumId="96">
    <w:nsid w:val="2B0D8DBE"/>
    <w:multiLevelType w:val="hybridMultilevel"/>
    <w:lvl w:ilvl="0">
      <w:lvlJc w:val="left"/>
      <w:lvlText w:val="(%1)"/>
      <w:numFmt w:val="lowerLetter"/>
      <w:start w:val="1"/>
    </w:lvl>
    <w:lvl w:ilvl="1">
      <w:lvlJc w:val="left"/>
      <w:lvlText w:val="(%2)"/>
      <w:numFmt w:val="lowerRoman"/>
      <w:start w:val="1"/>
    </w:lvl>
  </w:abstractNum>
  <w:abstractNum w:abstractNumId="97">
    <w:nsid w:val="6C80EC70"/>
    <w:multiLevelType w:val="hybridMultilevel"/>
    <w:lvl w:ilvl="0">
      <w:lvlJc w:val="left"/>
      <w:lvlText w:val="(%1)"/>
      <w:numFmt w:val="lowerRoman"/>
      <w:start w:val="6"/>
    </w:lvl>
  </w:abstractNum>
  <w:abstractNum w:abstractNumId="98">
    <w:nsid w:val="379E21B5"/>
    <w:multiLevelType w:val="hybridMultilevel"/>
    <w:lvl w:ilvl="0">
      <w:lvlJc w:val="left"/>
      <w:lvlText w:val="(%1)"/>
      <w:numFmt w:val="lowerRoman"/>
      <w:start w:val="1"/>
    </w:lvl>
  </w:abstractNum>
  <w:abstractNum w:abstractNumId="99">
    <w:nsid w:val="69E373"/>
    <w:multiLevelType w:val="hybridMultilevel"/>
    <w:lvl w:ilvl="0">
      <w:lvlJc w:val="left"/>
      <w:lvlText w:val="(%1)"/>
      <w:numFmt w:val="lowerLetter"/>
      <w:start w:val="2"/>
    </w:lvl>
  </w:abstractNum>
  <w:abstractNum w:abstractNumId="100">
    <w:nsid w:val="2C27173B"/>
    <w:multiLevelType w:val="hybridMultilevel"/>
    <w:lvl w:ilvl="0">
      <w:lvlJc w:val="left"/>
      <w:lvlText w:val="(%1)"/>
      <w:numFmt w:val="lowerLetter"/>
      <w:start w:val="5"/>
    </w:lvl>
    <w:lvl w:ilvl="1">
      <w:lvlJc w:val="left"/>
      <w:lvlText w:val="(%2)"/>
      <w:numFmt w:val="lowerRoman"/>
      <w:start w:val="1"/>
    </w:lvl>
  </w:abstractNum>
  <w:abstractNum w:abstractNumId="101">
    <w:nsid w:val="4C9B0904"/>
    <w:multiLevelType w:val="hybridMultilevel"/>
    <w:lvl w:ilvl="0">
      <w:lvlJc w:val="left"/>
      <w:lvlText w:val="(%1)"/>
      <w:numFmt w:val="lowerRoman"/>
      <w:start w:val="6"/>
    </w:lvl>
  </w:abstractNum>
  <w:abstractNum w:abstractNumId="102">
    <w:nsid w:val="6AA7B75C"/>
    <w:multiLevelType w:val="hybridMultilevel"/>
    <w:lvl w:ilvl="0">
      <w:lvlJc w:val="left"/>
      <w:lvlText w:val="(%1)"/>
      <w:numFmt w:val="lowerLetter"/>
      <w:start w:val="1"/>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decimal"/>
      <w:start w:val="1"/>
    </w:lvl>
    <w:lvl w:ilvl="1">
      <w:lvlJc w:val="left"/>
      <w:lvlText w:val="(%2)"/>
      <w:numFmt w:val="upperLetter"/>
      <w:start w:val="1"/>
    </w:lvl>
  </w:abstractNum>
  <w:abstractNum w:abstractNumId="105">
    <w:nsid w:val="3DD15094"/>
    <w:multiLevelType w:val="hybridMultilevel"/>
    <w:lvl w:ilvl="0">
      <w:lvlJc w:val="left"/>
      <w:lvlText w:val="1"/>
      <w:numFmt w:val="bullet"/>
      <w:start w:val="1"/>
    </w:lvl>
  </w:abstractNum>
  <w:abstractNum w:abstractNumId="106">
    <w:nsid w:val="3DB012B3"/>
    <w:multiLevelType w:val="hybridMultilevel"/>
    <w:lvl w:ilvl="0">
      <w:lvlJc w:val="left"/>
      <w:lvlText w:val="2"/>
      <w:numFmt w:val="bullet"/>
      <w:start w:val="1"/>
    </w:lvl>
  </w:abstractNum>
  <w:abstractNum w:abstractNumId="107">
    <w:nsid w:val="2708C9AF"/>
    <w:multiLevelType w:val="hybridMultilevel"/>
    <w:lvl w:ilvl="0">
      <w:lvlJc w:val="left"/>
      <w:lvlText w:val="3"/>
      <w:numFmt w:val="bullet"/>
      <w:start w:val="1"/>
    </w:lvl>
  </w:abstractNum>
  <w:abstractNum w:abstractNumId="108">
    <w:nsid w:val="5B25ACE2"/>
    <w:multiLevelType w:val="hybridMultilevel"/>
    <w:lvl w:ilvl="0">
      <w:lvlJc w:val="left"/>
      <w:lvlText w:val="4"/>
      <w:numFmt w:val="bullet"/>
      <w:start w:val="1"/>
    </w:lvl>
  </w:abstractNum>
  <w:abstractNum w:abstractNumId="109">
    <w:nsid w:val="175DFCF0"/>
    <w:multiLevelType w:val="hybridMultilevel"/>
    <w:lvl w:ilvl="0">
      <w:lvlJc w:val="left"/>
      <w:lvlText w:val="5"/>
      <w:numFmt w:val="bullet"/>
      <w:start w:val="1"/>
    </w:lvl>
  </w:abstractNum>
  <w:abstractNum w:abstractNumId="110">
    <w:nsid w:val="4F97E3E4"/>
    <w:multiLevelType w:val="hybridMultilevel"/>
    <w:lvl w:ilvl="0">
      <w:lvlJc w:val="left"/>
      <w:lvlText w:val="6"/>
      <w:numFmt w:val="bullet"/>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1."/>
      <w:numFmt w:val="decimal"/>
      <w:start w:val="1"/>
    </w:lvl>
  </w:abstractNum>
  <w:abstractNum w:abstractNumId="113">
    <w:nsid w:val="5915FF32"/>
    <w:multiLevelType w:val="hybridMultilevel"/>
    <w:lvl w:ilvl="0">
      <w:lvlJc w:val="left"/>
      <w:lvlText w:val="%1."/>
      <w:numFmt w:val="decimal"/>
      <w:start w:val="2"/>
    </w:lvl>
  </w:abstractNum>
  <w:abstractNum w:abstractNumId="114">
    <w:nsid w:val="56438D15"/>
    <w:multiLevelType w:val="hybridMultilevel"/>
    <w:lvl w:ilvl="0">
      <w:lvlJc w:val="left"/>
      <w:lvlText w:val="%1."/>
      <w:numFmt w:val="decimal"/>
      <w:start w:val="3"/>
    </w:lvl>
  </w:abstractNum>
  <w:abstractNum w:abstractNumId="115">
    <w:nsid w:val="519E3149"/>
    <w:multiLevelType w:val="hybridMultilevel"/>
    <w:lvl w:ilvl="0">
      <w:lvlJc w:val="left"/>
      <w:lvlText w:val="(%1)"/>
      <w:numFmt w:val="lowerLetter"/>
      <w:start w:val="1"/>
    </w:lvl>
    <w:lvl w:ilvl="1">
      <w:lvlJc w:val="left"/>
      <w:lvlText w:val="(%2)"/>
      <w:numFmt w:val="lowerLetter"/>
      <w:start w:val="35"/>
    </w:lvl>
  </w:abstractNum>
  <w:abstractNum w:abstractNumId="116">
    <w:nsid w:val="2C6E4AFD"/>
    <w:multiLevelType w:val="hybridMultilevel"/>
    <w:lvl w:ilvl="0">
      <w:lvlJc w:val="left"/>
      <w:lvlText w:val="(%1)"/>
      <w:numFmt w:val="lowerLetter"/>
      <w:start w:val="10"/>
    </w:lvl>
  </w:abstractNum>
  <w:abstractNum w:abstractNumId="117">
    <w:nsid w:val="17A1B582"/>
    <w:multiLevelType w:val="hybridMultilevel"/>
    <w:lvl w:ilvl="0">
      <w:lvlJc w:val="left"/>
      <w:lvlText w:val="%1."/>
      <w:numFmt w:val="decimal"/>
      <w:start w:val="4"/>
    </w:lvl>
  </w:abstractNum>
  <w:abstractNum w:abstractNumId="118">
    <w:nsid w:val="4DF72E4E"/>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19">
    <w:nsid w:val="5046B5A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120">
    <w:nsid w:val="5D888A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1">
    <w:nsid w:val="2A082C70"/>
    <w:multiLevelType w:val="hybridMultilevel"/>
    <w:lvl w:ilvl="0">
      <w:lvlJc w:val="left"/>
      <w:lvlText w:val="(%1)"/>
      <w:numFmt w:val="lowerRoman"/>
      <w:start w:val="2"/>
    </w:lvl>
  </w:abstractNum>
  <w:abstractNum w:abstractNumId="122">
    <w:nsid w:val="5EC6AFD4"/>
    <w:multiLevelType w:val="hybridMultilevel"/>
    <w:lvl w:ilvl="0">
      <w:lvlJc w:val="left"/>
      <w:lvlText w:val="(%1)"/>
      <w:numFmt w:val="lowerLetter"/>
      <w:start w:val="3"/>
    </w:lvl>
    <w:lvl w:ilvl="1">
      <w:lvlJc w:val="left"/>
      <w:lvlText w:val="%2."/>
      <w:numFmt w:val="lowerLetter"/>
      <w:start w:val="1"/>
    </w:lvl>
  </w:abstractNum>
  <w:abstractNum w:abstractNumId="123">
    <w:nsid w:val="19E21BB2"/>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lvl w:ilvl="3">
      <w:lvlJc w:val="left"/>
      <w:lvlText w:val="%4"/>
      <w:numFmt w:val="lowerRoman"/>
      <w:start w:val="1"/>
    </w:lvl>
  </w:abstractNum>
  <w:abstractNum w:abstractNumId="124">
    <w:nsid w:val="75E0858A"/>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1"/>
    </w:lvl>
    <w:lvl w:ilvl="3">
      <w:lvlJc w:val="left"/>
      <w:lvlText w:val="(%4)"/>
      <w:numFmt w:val="lowerRoman"/>
      <w:start w:val="1"/>
    </w:lvl>
  </w:abstractNum>
  <w:abstractNum w:abstractNumId="125">
    <w:nsid w:val="57A61A29"/>
    <w:multiLevelType w:val="hybridMultilevel"/>
    <w:lvl w:ilvl="0">
      <w:lvlJc w:val="left"/>
      <w:lvlText w:val="(%1)"/>
      <w:numFmt w:val="lowerLetter"/>
      <w:start w:val="12"/>
    </w:lvl>
    <w:lvl w:ilvl="1">
      <w:lvlJc w:val="left"/>
      <w:lvlText w:val="(%2)"/>
      <w:numFmt w:val="lowerLetter"/>
      <w:start w:val="61"/>
    </w:lvl>
  </w:abstractNum>
  <w:abstractNum w:abstractNumId="126">
    <w:nsid w:val="5399C654"/>
    <w:multiLevelType w:val="hybridMultilevel"/>
    <w:lvl w:ilvl="0">
      <w:lvlJc w:val="left"/>
      <w:lvlText w:val="(%1)"/>
      <w:numFmt w:val="lowerLetter"/>
      <w:start w:val="14"/>
    </w:lvl>
  </w:abstractNum>
  <w:abstractNum w:abstractNumId="127">
    <w:nsid w:val="20EE1348"/>
    <w:multiLevelType w:val="hybridMultilevel"/>
    <w:lvl w:ilvl="0">
      <w:lvlJc w:val="left"/>
      <w:lvlText w:val="(%1)"/>
      <w:numFmt w:val="lowerLetter"/>
      <w:start w:val="17"/>
    </w:lvl>
    <w:lvl w:ilvl="1">
      <w:lvlJc w:val="left"/>
      <w:lvlText w:val="(%2)"/>
      <w:numFmt w:val="lowerLetter"/>
      <w:start w:val="1"/>
    </w:lvl>
  </w:abstractNum>
  <w:abstractNum w:abstractNumId="128">
    <w:nsid w:val="4427069A"/>
    <w:multiLevelType w:val="hybridMultilevel"/>
    <w:lvl w:ilvl="0">
      <w:lvlJc w:val="left"/>
      <w:lvlText w:val="%1"/>
      <w:numFmt w:val="lowerLetter"/>
      <w:start w:val="1"/>
    </w:lvl>
    <w:lvl w:ilvl="1">
      <w:lvlJc w:val="left"/>
      <w:lvlText w:val="(%2)"/>
      <w:numFmt w:val="lowerLetter"/>
      <w:start w:val="9"/>
    </w:lvl>
  </w:abstractNum>
  <w:abstractNum w:abstractNumId="129">
    <w:nsid w:val="B37E80A"/>
    <w:multiLevelType w:val="hybridMultilevel"/>
    <w:lvl w:ilvl="0">
      <w:lvlJc w:val="left"/>
      <w:lvlText w:val="%1"/>
      <w:numFmt w:val="lowerLetter"/>
      <w:start w:val="1"/>
    </w:lvl>
    <w:lvl w:ilvl="1">
      <w:lvlJc w:val="left"/>
      <w:lvlText w:val="(%2)"/>
      <w:numFmt w:val="lowerLetter"/>
      <w:start w:val="35"/>
    </w:lvl>
  </w:abstractNum>
  <w:abstractNum w:abstractNumId="130">
    <w:nsid w:val="2157F6BC"/>
    <w:multiLevelType w:val="hybridMultilevel"/>
    <w:lvl w:ilvl="0">
      <w:lvlJc w:val="left"/>
      <w:lvlText w:val="(%1)"/>
      <w:numFmt w:val="lowerLetter"/>
      <w:start w:val="19"/>
    </w:lvl>
    <w:lvl w:ilvl="1">
      <w:lvlJc w:val="left"/>
      <w:lvlText w:val="%2"/>
      <w:numFmt w:val="lowerLetter"/>
      <w:start w:val="1"/>
    </w:lvl>
  </w:abstractNum>
  <w:abstractNum w:abstractNumId="131">
    <w:nsid w:val="704E1DD5"/>
    <w:multiLevelType w:val="hybridMultilevel"/>
    <w:lvl w:ilvl="0">
      <w:lvlJc w:val="left"/>
      <w:lvlText w:val="(%1)"/>
      <w:numFmt w:val="lowerLetter"/>
      <w:start w:val="22"/>
    </w:lvl>
  </w:abstractNum>
  <w:abstractNum w:abstractNumId="132">
    <w:nsid w:val="57D2F10E"/>
    <w:multiLevelType w:val="hybridMultilevel"/>
    <w:lvl w:ilvl="0">
      <w:lvlJc w:val="left"/>
      <w:lvlText w:val="(%1)"/>
      <w:numFmt w:val="lowerLetter"/>
      <w:start w:val="27"/>
    </w:lvl>
    <w:lvl w:ilvl="1">
      <w:lvlJc w:val="left"/>
      <w:lvlText w:val="(%2)"/>
      <w:numFmt w:val="lowerRoman"/>
      <w:start w:val="1"/>
    </w:lvl>
  </w:abstractNum>
  <w:abstractNum w:abstractNumId="133">
    <w:nsid w:val="BFFAE18"/>
    <w:multiLevelType w:val="hybridMultilevel"/>
    <w:lvl w:ilvl="0">
      <w:lvlJc w:val="left"/>
      <w:lvlText w:val="(%1)"/>
      <w:numFmt w:val="lowerRoman"/>
      <w:start w:val="3"/>
    </w:lvl>
  </w:abstractNum>
  <w:abstractNum w:abstractNumId="134">
    <w:nsid w:val="E3E47A8"/>
    <w:multiLevelType w:val="hybridMultilevel"/>
    <w:lvl w:ilvl="0">
      <w:lvlJc w:val="left"/>
      <w:lvlText w:val="(%1)"/>
      <w:numFmt w:val="lowerLetter"/>
      <w:start w:val="31"/>
    </w:lvl>
    <w:lvl w:ilvl="1">
      <w:lvlJc w:val="left"/>
      <w:lvlText w:val="(%2)"/>
      <w:numFmt w:val="lowerRoman"/>
      <w:start w:val="1"/>
    </w:lvl>
  </w:abstractNum>
  <w:abstractNum w:abstractNumId="135">
    <w:nsid w:val="2E48F044"/>
    <w:multiLevelType w:val="hybridMultilevel"/>
    <w:lvl w:ilvl="0">
      <w:lvlJc w:val="left"/>
      <w:lvlText w:val="(%1)"/>
      <w:numFmt w:val="lowerLetter"/>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jpeg"/><Relationship Id="rId111" Type="http://schemas.openxmlformats.org/officeDocument/2006/relationships/image" Target="media/image98.png"/><Relationship Id="rId112" Type="http://schemas.openxmlformats.org/officeDocument/2006/relationships/image" Target="media/image99.jpeg"/><Relationship Id="rId113" Type="http://schemas.openxmlformats.org/officeDocument/2006/relationships/image" Target="media/image100.png"/><Relationship Id="rId114" Type="http://schemas.openxmlformats.org/officeDocument/2006/relationships/image" Target="media/image101.jpeg"/><Relationship Id="rId115" Type="http://schemas.openxmlformats.org/officeDocument/2006/relationships/image" Target="media/image102.jpeg"/><Relationship Id="rId116" Type="http://schemas.openxmlformats.org/officeDocument/2006/relationships/image" Target="media/image103.png"/><Relationship Id="rId117" Type="http://schemas.openxmlformats.org/officeDocument/2006/relationships/image" Target="media/image104.jpeg"/><Relationship Id="rId118" Type="http://schemas.openxmlformats.org/officeDocument/2006/relationships/image" Target="media/image105.png"/><Relationship Id="rId119" Type="http://schemas.openxmlformats.org/officeDocument/2006/relationships/image" Target="media/image106.jpe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8" Type="http://schemas.openxmlformats.org/officeDocument/2006/relationships/hyperlink" Target="http://www.sec.gov/Archives/edgar/data/1899123/000114036124016228/ny20023745x4_f3a.htm" TargetMode="External"/><Relationship Id="rId19" Type="http://schemas.openxmlformats.org/officeDocument/2006/relationships/hyperlink" Target="http://www.sec.gov/Archives/edgar/data/1899123/000114036124016229/ny20023745x5_f3a.htm" TargetMode="External"/><Relationship Id="rId20" Type="http://schemas.openxmlformats.org/officeDocument/2006/relationships/hyperlink" Target="http://www.sec.gov/Archives/edgar/data/1899123/000114036124029276/ny20030771x1_f3.htm" TargetMode="External"/><Relationship Id="rId21" Type="http://schemas.openxmlformats.org/officeDocument/2006/relationships/hyperlink" Target="http://www.sec.gov/Archives/edgar/data/1899123/000114036124049031/ny20039746x1_f3.htm" TargetMode="External"/><Relationship Id="rId22" Type="http://schemas.openxmlformats.org/officeDocument/2006/relationships/hyperlink" Target="http://www.sec.gov/Archives/edgar/data/1899123/000114036123031108/brhc20054618_s8.htm" TargetMode="External"/><Relationship Id="rId23"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2025-06-23T15:46:11Z</dcterms:created>
  <dcterms:modified xsi:type="dcterms:W3CDTF">2025-06-23T15:46:11Z</dcterms:modified>
</cp:coreProperties>
</file>