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Linghui Kong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08 Kallang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Aperia Tower 1, #09-03/04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339509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Bitdeer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Technologies Group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Submitted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6, 2022 to Comments on Amendment No. 2 to Draft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6,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0001899123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Kong: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response letter submitted April 6, 2022 and have the following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Submitted April 6, 2022 to Comments on Amendment No. 2 to Draft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Holding Company and Subsidiaries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Unaudited Condensed Combined and Consolidated Financial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Changes in Significant Accounting Policies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 Cryptocurrency lending, page F-35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900" w:right="32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prior comments 10 and 11 and continue to evaluate your analysis.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Linghui Kong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10,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Combined Financial Statements</w:t>
      </w:r>
    </w:p>
    <w:p>
      <w:pPr>
        <w:ind w:right="4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Summary of Significant Accounting Policies h. Cryptocurrencies, page F-62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13 and continue to evaluate your analysis.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proposed revised disclosure in response to prior comment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further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 that cryptocurrencies received from your revenue arrangements are not an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 to operating activities; rather, an adjustment to remove the noncash item.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l. Mining machines, page F-64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proposed revised disclosure in response to prior comment</w:t>
      </w:r>
    </w:p>
    <w:p>
      <w:pPr>
        <w:spacing w:after="0" w:line="4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following: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your reassessment of the accounting for Cloud Hosting arrangements 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noted in response to prior comment 19, please explain the type of arrangements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 sales of mining machines to customers are recognized at the point in time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control of the mining machines is transferred to the customer upon deployment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mining machines;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what you consider to be the amount of promised consideration to which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Group is expected to be entitled; and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239" w:firstLine="1685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the nature of amounts collected on behalf of third parties that are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excluded from revenue and cite the guidance that supports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prior comment 14, we note that you reassessed and concluded the sale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mining machines should be accounted for in accordance with IFRS 15. Please provide us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reevaluation of your classification of the cash flows related to proceeds from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 of mining machines and cash outflows for the purchase of mining machines as cash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flows from investing activities and cite the guidance that supports your accounting.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o. Revenue recognition, page F-65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revised disclosure in response to prior comment 18 regarding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proprietary mining arrangements. Consistent with your January 24, 2022 response to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comment 45, please also indicate the relative amount of the transaction verification</w:t>
      </w:r>
    </w:p>
    <w:p>
      <w:pPr>
        <w:ind w:right="6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fees.LastNameLinghui Kong FirstName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1280" w:hanging="1272"/>
        <w:spacing w:after="0" w:line="238" w:lineRule="auto"/>
        <w:tabs>
          <w:tab w:leader="none" w:pos="1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NameBitdeer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3"/>
        </w:trPr>
        <w:tc>
          <w:tcPr>
            <w:tcW w:w="1580" w:type="dxa"/>
            <w:vAlign w:val="bottom"/>
            <w:gridSpan w:val="2"/>
          </w:tcPr>
          <w:p>
            <w:pPr>
              <w:ind w:left="7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Technologies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4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responses to prior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Cloud Hash Rate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comments 15, 16, 17, and 19 regarding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10,and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Cloud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10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Hosting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55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arrangements and continue to evaluate your analysis.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Linghui Kong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10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LastNameLinghui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Bitdeer Technologies Group Kong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7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NameBitdeer Technologies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2022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75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revised disclosure of the Cloud Hosting accounting policy in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prior comment 19 indicating revenue is recognized ratably over the term of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service. Please elaborate on the period over which revenue is recognized. In this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that the upfront payment is for the promise to provide the computing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generated from specified mining machines over the life of the mining machines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hosting fees are based on the customer s consumption of electricity every ten days.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19. Subsequent Events, page F-91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entered into a loan agreement for 30 million USDC and purchased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short-term wealth management product in the amount of 30 million USDT. Please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you are accounting for these transactions and cite the literature that supports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accounting. Describe the material rights and obligations of both parties to the loan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2" w:name="page3"/>
    <w:bookmarkEnd w:id="2"/>
    <w:p>
      <w:pPr>
        <w:ind w:right="20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investment. In addition, please explain how the transactions are reflected in each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financial statements.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Melissa Walsh,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551-3224 or Stephen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Priscilla Dao, Staff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Attorney, at (202) 551-5997 or Larry Spirgel, Office Chief, at (202) 551-3815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Will Cai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13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14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8"/>
    </w:lvl>
  </w:abstractNum>
  <w:abstractNum w:abstractNumId="6">
    <w:nsid w:val="41B71EFB"/>
    <w:multiLevelType w:val="hybridMultilevel"/>
    <w:lvl w:ilvl="0">
      <w:lvlJc w:val="left"/>
      <w:lvlText w:val="%1."/>
      <w:numFmt w:val="decimal"/>
      <w:start w:val="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2023-05-22T23:13:17Z</dcterms:created>
  <dcterms:modified xsi:type="dcterms:W3CDTF">2023-05-22T23:13:17Z</dcterms:modified>
</cp:coreProperties>
</file>