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7771" w:type="dxa"/>
        <w:jc w:val="left"/>
        <w:tblInd w:w="0" w:type="dxa"/>
        <w:tblLayout w:type="fixed"/>
        <w:tblCellMar>
          <w:top w:w="28" w:type="dxa"/>
          <w:left w:w="28" w:type="dxa"/>
          <w:bottom w:w="28" w:type="dxa"/>
          <w:right w:w="28" w:type="dxa"/>
        </w:tblCellMar>
      </w:tblPr>
      <w:tblGrid>
        <w:gridCol w:w="7771"/>
      </w:tblGrid>
      <w:tr>
        <w:trPr/>
        <w:tc>
          <w:tcPr>
            <w:tcW w:w="777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777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7771" w:type="dxa"/>
            <w:tcBorders/>
            <w:vAlign w:val="center"/>
          </w:tcPr>
          <w:p>
            <w:pPr>
              <w:pStyle w:val="TableContents"/>
              <w:bidi w:val="0"/>
              <w:spacing w:before="0" w:after="0"/>
              <w:jc w:val="left"/>
              <w:rPr/>
            </w:pPr>
            <w:r>
              <w:rPr/>
              <w:t xml:space="preserve">UNDER THE SECURITIES EXCHANGE ACT OF 1934 </w:t>
            </w:r>
          </w:p>
        </w:tc>
      </w:tr>
      <w:tr>
        <w:trPr/>
        <w:tc>
          <w:tcPr>
            <w:tcW w:w="7771" w:type="dxa"/>
            <w:tcBorders/>
            <w:vAlign w:val="center"/>
          </w:tcPr>
          <w:p>
            <w:pPr>
              <w:pStyle w:val="TableContents"/>
              <w:bidi w:val="0"/>
              <w:spacing w:before="0" w:after="283"/>
              <w:jc w:val="left"/>
              <w:rPr>
                <w:sz w:val="4"/>
                <w:szCs w:val="4"/>
              </w:rPr>
            </w:pPr>
            <w:r>
              <w:rPr>
                <w:sz w:val="4"/>
                <w:szCs w:val="4"/>
              </w:rPr>
            </w:r>
          </w:p>
        </w:tc>
      </w:tr>
      <w:tr>
        <w:trPr/>
        <w:tc>
          <w:tcPr>
            <w:tcW w:w="7771" w:type="dxa"/>
            <w:tcBorders/>
            <w:vAlign w:val="center"/>
          </w:tcPr>
          <w:p>
            <w:pPr>
              <w:pStyle w:val="TableContents"/>
              <w:bidi w:val="0"/>
              <w:spacing w:before="0" w:after="0"/>
              <w:jc w:val="center"/>
              <w:rPr>
                <w:b/>
                <w:color w:val="0000FF"/>
              </w:rPr>
            </w:pPr>
            <w:r>
              <w:rPr>
                <w:b/>
                <w:color w:val="0000FF"/>
              </w:rPr>
              <w:t>BITDEER TECHNOLOGIES GROUP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7771" w:type="dxa"/>
            <w:tcBorders/>
            <w:vAlign w:val="center"/>
          </w:tcPr>
          <w:p>
            <w:pPr>
              <w:pStyle w:val="TableContents"/>
              <w:bidi w:val="0"/>
              <w:spacing w:before="0" w:after="0"/>
              <w:jc w:val="center"/>
              <w:rPr>
                <w:b/>
                <w:color w:val="0000FF"/>
              </w:rPr>
            </w:pPr>
            <w:r>
              <w:rPr>
                <w:b/>
                <w:color w:val="0000FF"/>
              </w:rPr>
              <w:t>Class A ordinary shares, par value US$0.0000001 per share (the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7771"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7771" w:type="dxa"/>
            <w:tcBorders/>
            <w:vAlign w:val="center"/>
          </w:tcPr>
          <w:p>
            <w:pPr>
              <w:pStyle w:val="TableContents"/>
              <w:bidi w:val="0"/>
              <w:spacing w:before="0" w:after="0"/>
              <w:jc w:val="center"/>
              <w:rPr>
                <w:b/>
                <w:color w:val="0000FF"/>
              </w:rPr>
            </w:pPr>
            <w:r>
              <w:rPr>
                <w:b/>
                <w:color w:val="0000FF"/>
              </w:rPr>
              <w:t>07/20/2026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8,665,701.00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8,665,701.00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8,665,701.00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reported in this Schedule 13G are based upon 198,913,731 Shares outstanding as of April 21, 2026 (according to the issuer's Form 20-F as filed with the Securities and Exchange Commission on April 30, 2026). Except as described in the preceding sentence, all Shares for the holdings of the reporting persons reported in this Schedule 13G are as of the opening of the market on July 27,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6,664,874.00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6,664,874.00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6,664,874.00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Group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8,665,701.00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8,665,701.00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8,665,701.00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Advisors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929,841.00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929,841.00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929,841.00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Advisors Holdings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929,841.00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929,841.00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929,841.00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929,841.00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929,841.00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929,841.00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Kenneth Griffin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9,595,542.00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9,595,542.00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9,595,542.00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BITDEER TECHNOLOGIES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08 Kallang Avenue, Aperia tower 1, #09-03/04, Singapore 339509</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jointly filed by Citadel Securities GP LLC ("CSGP"), Citadel Securities LLC ("Citadel Securities"), Citadel Securities Group LP ("CALC4"), Citadel Advisors LLC ("Citadel Advisors"), Citadel Advisors Holdings LP ("CAH"), Citadel GP LLC ("CGP"), and Mr. Kenneth Griffin (collectively with CSGP, Citadel Securities, CALC4, Citadel Advisors, CAH, and CGP, the "Reporting Persons") with respect to the Shares of the above-named issuer held of record by Citadel Securities, Citadel Multi-Asset Master Fund Ltd., a Cayman Islands company ("CMAM"), Citadel Securities Principal Strategies LLC, a Delaware limited liability company ("CSP"), and CRBU Holdings LLC, a Delaware limited liability company ("CRBH"). Such Shares may include other instruments exercisable for or convertible into Shares. CALC4 is the non-member manager of Citadel Securities, CSP and CRBH. CSGP is the general partner of CALC4. Citadel Advisors is the portfolio manager for CMAM. CAH is the sole member of Citadel Advisors. CGP is the general partner of CAH. Mr. Griffin is the President and Chief Executive Officer of CGP, and owns a controlling interest in CGP and CSGP.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each of the Reporting Persons is 830 Brickell Plaza, Miami, Florida 33131.</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Each of CSGP, Citadel Securities, Citadel Advisors, and CGP is organized as a limited liability company under the laws of the State of Delaware. Each of CALC4 and CAH is organized as a limited partnership under the laws of the State of Delaware. Mr. Griffin is a U.S. citizen.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US$0.0000001 per share (the "Shares")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 Citadel Securities LLC may be deemed to beneficially own 6,664,874 Shares. 2. Each of Citadel Securities Group LP and Citadel Securities GP LLC may be deemed to beneficially own 8,665,701 Shares. 3. Each of Citadel Advisors LLC, Citadel Advisors Holdings LP and Citadel GP LLC may be deemed to beneficially own 929,841 Shares. 4. Mr. Griffin may be deemed to beneficially own 9,595,542 Shares.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 The number of Shares that Citadel Securities LLC may be deemed to beneficially own constitutes 3.4% of the Shares outstanding. 2. The number of Shares that each of Citadel Securities Group LP and Citadel Securities GP LLC may be deemed to beneficially own constitutes 4.4% of the Shares outstanding. 3. The number of Shares that each of Citadel Advisors LLC, Citadel Advisors Holdings LP and Citadel GP LLC may be deemed to beneficially own constitutes 0.5% of the Shares outstanding. 4. The number of Shares that Mr. Griffin may be deemed to beneficially own constitutes 4.8% of the Shares outstanding.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Citadel Securities LLC: 0 2. Each of Citadel Securities Group LP and Citadel Securities GP LLC: 0 3. Each of Citadel Advisors LLC, Citadel Advisors Holdings LP and Citadel GP LLC: 0 4. Mr. Griffin: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Citadel Securities LLC: 6,664,874 2. Each of Citadel Securities Group LP and Citadel Securities GP LLC: 8,665,701 3. Each of Citadel Advisors LLC, Citadel Advisors Holdings LP and Citadel GP LLC: 929,841 4. Mr. Griffin: 9,595,542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Citadel Securities LLC: 0 2. Each of Citadel Securities Group LP and Citadel Securities GP LLC: 0 3. Each of Citadel Advisors LLC, Citadel Advisors Holdings LP and Citadel GP LLC: 0 4. Mr. Griffin: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Citadel Securities LLC: 6,664,874 2. Each of Citadel Securities Group LP and Citadel Securities GP LLC: 8,665,701 3. Each of Citadel Advisors LLC, Citadel Advisors Holdings LP and Citadel GP LLC: 929,841 4. Mr. Griffin: 9,595,542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712" w:type="dxa"/>
        <w:jc w:val="left"/>
        <w:tblInd w:w="0" w:type="dxa"/>
        <w:tblLayout w:type="fixed"/>
        <w:tblCellMar>
          <w:top w:w="28" w:type="dxa"/>
          <w:left w:w="28" w:type="dxa"/>
          <w:bottom w:w="28" w:type="dxa"/>
          <w:right w:w="28" w:type="dxa"/>
        </w:tblCellMar>
      </w:tblPr>
      <w:tblGrid>
        <w:gridCol w:w="2856"/>
        <w:gridCol w:w="2856"/>
      </w:tblGrid>
      <w:tr>
        <w:trPr/>
        <w:tc>
          <w:tcPr>
            <w:tcW w:w="2856" w:type="dxa"/>
            <w:tcBorders/>
            <w:vAlign w:val="center"/>
          </w:tcPr>
          <w:p>
            <w:pPr>
              <w:pStyle w:val="TableContents"/>
              <w:bidi w:val="0"/>
              <w:spacing w:before="0" w:after="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0"/>
                    <w:jc w:val="left"/>
                    <w:rPr/>
                  </w:pPr>
                  <w:r>
                    <w:rPr/>
                    <w:t>Citadel Securities GP LLC</w:t>
                  </w:r>
                </w:p>
              </w:tc>
            </w:tr>
          </w:tbl>
          <w:p>
            <w:pPr>
              <w:pStyle w:val="TableContents"/>
              <w:bidi w:val="0"/>
              <w:spacing w:before="0" w:after="283"/>
              <w:jc w:val="left"/>
              <w:rPr/>
            </w:pPr>
            <w:r>
              <w:rPr/>
            </w:r>
          </w:p>
        </w:tc>
        <w:tc>
          <w:tcPr>
            <w:tcW w:w="28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Citadel Securities LLC</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Citadel Securities Group LP</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Citadel Advisors LLC</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Citadel Advisors Holdings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3696" w:type="dxa"/>
        <w:jc w:val="left"/>
        <w:tblInd w:w="0" w:type="dxa"/>
        <w:tblLayout w:type="fixed"/>
        <w:tblCellMar>
          <w:top w:w="28" w:type="dxa"/>
          <w:left w:w="28" w:type="dxa"/>
          <w:bottom w:w="28" w:type="dxa"/>
          <w:right w:w="28" w:type="dxa"/>
        </w:tblCellMar>
      </w:tblPr>
      <w:tblGrid>
        <w:gridCol w:w="1848"/>
        <w:gridCol w:w="1848"/>
      </w:tblGrid>
      <w:tr>
        <w:trPr/>
        <w:tc>
          <w:tcPr>
            <w:tcW w:w="1848" w:type="dxa"/>
            <w:tcBorders/>
            <w:vAlign w:val="center"/>
          </w:tcPr>
          <w:p>
            <w:pPr>
              <w:pStyle w:val="TableContents"/>
              <w:bidi w:val="0"/>
              <w:spacing w:before="0" w:after="0"/>
              <w:jc w:val="left"/>
              <w:rPr/>
            </w:pPr>
            <w:r>
              <w:rPr/>
              <w:t> </w:t>
            </w:r>
          </w:p>
          <w:tbl>
            <w:tblPr>
              <w:tblW w:w="1741" w:type="dxa"/>
              <w:jc w:val="left"/>
              <w:tblInd w:w="0" w:type="dxa"/>
              <w:tblLayout w:type="fixed"/>
              <w:tblCellMar>
                <w:top w:w="28" w:type="dxa"/>
                <w:left w:w="28" w:type="dxa"/>
                <w:bottom w:w="28" w:type="dxa"/>
                <w:right w:w="28" w:type="dxa"/>
              </w:tblCellMar>
            </w:tblPr>
            <w:tblGrid>
              <w:gridCol w:w="1741"/>
            </w:tblGrid>
            <w:tr>
              <w:trPr/>
              <w:tc>
                <w:tcPr>
                  <w:tcW w:w="1741" w:type="dxa"/>
                  <w:tcBorders/>
                  <w:vAlign w:val="center"/>
                </w:tcPr>
                <w:p>
                  <w:pPr>
                    <w:pStyle w:val="TableContents"/>
                    <w:bidi w:val="0"/>
                    <w:spacing w:before="0" w:after="0"/>
                    <w:jc w:val="left"/>
                    <w:rPr/>
                  </w:pPr>
                  <w:r>
                    <w:rPr/>
                    <w:t>Citadel GP LLC</w:t>
                  </w:r>
                </w:p>
              </w:tc>
            </w:tr>
          </w:tbl>
          <w:p>
            <w:pPr>
              <w:pStyle w:val="TableContents"/>
              <w:bidi w:val="0"/>
              <w:spacing w:before="0" w:after="283"/>
              <w:jc w:val="left"/>
              <w:rPr/>
            </w:pPr>
            <w:r>
              <w:rPr/>
            </w:r>
          </w:p>
        </w:tc>
        <w:tc>
          <w:tcPr>
            <w:tcW w:w="18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Kenneth Griffin</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07"/>
        <w:gridCol w:w="4498"/>
      </w:tblGrid>
      <w:tr>
        <w:trPr/>
        <w:tc>
          <w:tcPr>
            <w:tcW w:w="57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4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Seth Levy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Allakos Inc. on October 13, 2023.</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283"/>
              <w:jc w:val="center"/>
              <w:rPr>
                <w:b/>
              </w:rPr>
            </w:pPr>
            <w:r>
              <w:rPr>
                <w:b/>
              </w:rPr>
              <w:t xml:space="preserve">Exhibit Information </w:t>
            </w:r>
          </w:p>
        </w:tc>
      </w:tr>
      <w:tr>
        <w:trPr/>
        <w:tc>
          <w:tcPr>
            <w:tcW w:w="3706" w:type="dxa"/>
            <w:tcBorders/>
            <w:vAlign w:val="center"/>
          </w:tcPr>
          <w:p>
            <w:pPr>
              <w:pStyle w:val="TableContents"/>
              <w:bidi w:val="0"/>
              <w:spacing w:before="0" w:after="283"/>
              <w:jc w:val="left"/>
              <w:rPr/>
            </w:pPr>
            <w:r>
              <w:rPr/>
              <w:t>Exhibit 99.1 - Joint Filing Agreement</w:t>
            </w:r>
          </w:p>
        </w:tc>
      </w:tr>
    </w:tbl>
    <w:p>
      <w:pPr>
        <w:pStyle w:val="TextBody"/>
        <w:bidi w:val="0"/>
        <w:jc w:val="left"/>
        <w:rPr/>
      </w:pPr>
      <w:bookmarkStart w:id="40" w:name="tm2621382d1_ex99-1.htm"/>
      <w:bookmarkStart w:id="41" w:name="kstm2621382d1_ex991"/>
      <w:bookmarkEnd w:id="40"/>
      <w:bookmarkEnd w:id="4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99.1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agree that the Statement on Schedule 13G filed herewith (and any amendments thereto), relating to the Shares, is being filed jointly with the Securities and Exchange Commission pursuant to Rule 13d-1(c) under the Securities Exchange Act of 1934, as amended, on behalf of each of the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counterparts and each of such counterparts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27, 2026.</w:t>
      </w:r>
    </w:p>
    <w:p>
      <w:pPr>
        <w:pStyle w:val="TextBody"/>
        <w:bidi w:val="0"/>
        <w:spacing w:before="0" w:after="0"/>
        <w:ind w:left="0" w:right="0" w:hanging="0"/>
        <w:jc w:val="left"/>
        <w:rPr>
          <w:caps w:val="false"/>
          <w:smallCaps w:val="false"/>
        </w:rPr>
      </w:pPr>
      <w:r>
        <w:rPr>
          <w:caps w:val="false"/>
          <w:smallCaps w:val="false"/>
        </w:rPr>
        <w:t> </w:t>
      </w:r>
    </w:p>
    <w:tbl>
      <w:tblPr>
        <w:tblW w:w="6608" w:type="dxa"/>
        <w:jc w:val="left"/>
        <w:tblInd w:w="0" w:type="dxa"/>
        <w:tblLayout w:type="fixed"/>
        <w:tblCellMar>
          <w:top w:w="0" w:type="dxa"/>
          <w:left w:w="0" w:type="dxa"/>
          <w:bottom w:w="0" w:type="dxa"/>
          <w:right w:w="0" w:type="dxa"/>
        </w:tblCellMar>
      </w:tblPr>
      <w:tblGrid>
        <w:gridCol w:w="364"/>
        <w:gridCol w:w="2820"/>
        <w:gridCol w:w="75"/>
        <w:gridCol w:w="365"/>
        <w:gridCol w:w="2984"/>
      </w:tblGrid>
      <w:tr>
        <w:trPr/>
        <w:tc>
          <w:tcPr>
            <w:tcW w:w="31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CITADEL SECURITIES LLC</w:t>
            </w:r>
          </w:p>
        </w:tc>
        <w:tc>
          <w:tcPr>
            <w:tcW w:w="7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CITADEL ADVISORS LLC</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8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Authorized Signatory</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Authorized Signatory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1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CITADEL SECURITIES GROUP LP</w:t>
            </w:r>
          </w:p>
        </w:tc>
        <w:tc>
          <w:tcPr>
            <w:tcW w:w="7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CITADEL ADVISORS HOLDINGS LP</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8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Authorized Signatory</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Authorized Signatory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1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CITADEL SECURITIES GP LLC</w:t>
            </w:r>
          </w:p>
        </w:tc>
        <w:tc>
          <w:tcPr>
            <w:tcW w:w="7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CITADEL GP LLC</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8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Authorized Signatory</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Authorized Signatory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KENNETH GRIFFIN</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8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attorney-in-fact</w:t>
            </w:r>
            <w:r>
              <w:rPr>
                <w:rFonts w:ascii="Times New Roman;Times;Serif" w:hAnsi="Times New Roman;Times;Serif"/>
                <w:position w:val="7"/>
                <w:sz w:val="16"/>
                <w:sz w:val="20"/>
                <w:u w:val="single"/>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u w:val="single"/>
              </w:rPr>
              <w:t>*</w:t>
            </w:r>
            <w:r>
              <w:rPr>
                <w:rFonts w:ascii="Times New Roman;Times;Serif" w:hAnsi="Times New Roman;Times;Serif"/>
                <w:sz w:val="20"/>
              </w:rPr>
              <w:t> </w:t>
            </w:r>
          </w:p>
        </w:tc>
        <w:tc>
          <w:tcPr>
            <w:tcW w:w="9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Allakos Inc. on October 13,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2392</Words>
  <Characters>12451</Characters>
  <CharactersWithSpaces>14749</CharactersWithSpaces>
  <Paragraphs>545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